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79A5" w:rsidRPr="00C3613B" w:rsidRDefault="00A779A5" w:rsidP="00A779A5">
      <w:pPr>
        <w:spacing w:before="100" w:beforeAutospacing="1" w:after="100" w:afterAutospacing="1"/>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 xml:space="preserve">Fiscale woonplaats jurisprudentie </w:t>
      </w:r>
      <w:r w:rsidRPr="00C3613B">
        <w:rPr>
          <w:rFonts w:ascii="Times New Roman" w:eastAsia="Times New Roman" w:hAnsi="Times New Roman" w:cs="Times New Roman"/>
          <w:kern w:val="0"/>
          <w:lang w:eastAsia="nl-NL"/>
          <w14:ligatures w14:val="none"/>
        </w:rPr>
        <w:t xml:space="preserve">HR 21-01-2011, ECLI:NL:HR:2011:BP1466 (woonplaatsbegrip AKW / aansluiting fiscale woonplaats). </w:t>
      </w:r>
      <w:r>
        <w:fldChar w:fldCharType="begin"/>
      </w:r>
      <w:r>
        <w:instrText>HYPERLINK "https://uitspraken.rechtspraak.nl/details?id=ECLI%3ANL%3AHR%3A2011%3ABP1466&amp;utm_source=chatgpt.com" \t "_blank"</w:instrText>
      </w:r>
      <w:r>
        <w:fldChar w:fldCharType="separate"/>
      </w:r>
      <w:r w:rsidRPr="00C3613B">
        <w:rPr>
          <w:rFonts w:ascii="Times New Roman" w:eastAsia="Times New Roman" w:hAnsi="Times New Roman" w:cs="Times New Roman"/>
          <w:color w:val="0000FF"/>
          <w:kern w:val="0"/>
          <w:u w:val="single"/>
          <w:lang w:eastAsia="nl-NL"/>
          <w14:ligatures w14:val="none"/>
        </w:rPr>
        <w:t>Uitspraken Rechtspraak</w:t>
      </w:r>
      <w:r>
        <w:rPr>
          <w:rFonts w:ascii="Times New Roman" w:eastAsia="Times New Roman" w:hAnsi="Times New Roman" w:cs="Times New Roman"/>
          <w:color w:val="0000FF"/>
          <w:kern w:val="0"/>
          <w:u w:val="single"/>
          <w:lang w:eastAsia="nl-NL"/>
          <w14:ligatures w14:val="none"/>
        </w:rPr>
        <w:fldChar w:fldCharType="end"/>
      </w:r>
    </w:p>
    <w:p w:rsidR="00A779A5" w:rsidRDefault="00A779A5" w:rsidP="00A779A5">
      <w:pPr>
        <w:outlineLvl w:val="2"/>
        <w:rPr>
          <w:rFonts w:ascii="Verdana" w:eastAsia="Times New Roman" w:hAnsi="Verdana" w:cs="Times New Roman"/>
          <w:b/>
          <w:bCs/>
          <w:color w:val="1B105C"/>
          <w:kern w:val="0"/>
          <w:sz w:val="21"/>
          <w:szCs w:val="21"/>
          <w:lang w:eastAsia="nl-NL"/>
          <w14:ligatures w14:val="none"/>
        </w:rPr>
      </w:pPr>
    </w:p>
    <w:p w:rsidR="00A779A5" w:rsidRDefault="00A779A5" w:rsidP="00A779A5">
      <w:pPr>
        <w:outlineLvl w:val="2"/>
        <w:rPr>
          <w:rFonts w:ascii="Verdana" w:eastAsia="Times New Roman" w:hAnsi="Verdana" w:cs="Times New Roman"/>
          <w:b/>
          <w:bCs/>
          <w:color w:val="1B105C"/>
          <w:kern w:val="0"/>
          <w:sz w:val="21"/>
          <w:szCs w:val="21"/>
          <w:lang w:eastAsia="nl-NL"/>
          <w14:ligatures w14:val="none"/>
        </w:rPr>
      </w:pPr>
    </w:p>
    <w:p w:rsidR="00A779A5" w:rsidRPr="00A779A5" w:rsidRDefault="00A779A5" w:rsidP="00A779A5">
      <w:pPr>
        <w:outlineLvl w:val="2"/>
        <w:rPr>
          <w:rFonts w:ascii="Verdana" w:eastAsia="Times New Roman" w:hAnsi="Verdana" w:cs="Times New Roman"/>
          <w:b/>
          <w:bCs/>
          <w:color w:val="1B105C"/>
          <w:kern w:val="0"/>
          <w:sz w:val="21"/>
          <w:szCs w:val="21"/>
          <w:lang w:eastAsia="nl-NL"/>
          <w14:ligatures w14:val="none"/>
        </w:rPr>
      </w:pPr>
      <w:r w:rsidRPr="00A779A5">
        <w:rPr>
          <w:rFonts w:ascii="Verdana" w:eastAsia="Times New Roman" w:hAnsi="Verdana" w:cs="Times New Roman"/>
          <w:b/>
          <w:bCs/>
          <w:color w:val="1B105C"/>
          <w:kern w:val="0"/>
          <w:sz w:val="21"/>
          <w:szCs w:val="21"/>
          <w:lang w:eastAsia="nl-NL"/>
          <w14:ligatures w14:val="none"/>
        </w:rPr>
        <w:t>Uitspraak</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Nr. 10/00563</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21 januari 2011</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Arrest</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proofErr w:type="gramStart"/>
      <w:r w:rsidRPr="00A779A5">
        <w:rPr>
          <w:rFonts w:ascii="Verdana" w:eastAsia="Times New Roman" w:hAnsi="Verdana" w:cs="Times New Roman"/>
          <w:color w:val="000000"/>
          <w:kern w:val="0"/>
          <w:sz w:val="18"/>
          <w:szCs w:val="18"/>
          <w:lang w:eastAsia="nl-NL"/>
          <w14:ligatures w14:val="none"/>
        </w:rPr>
        <w:t>gewezen</w:t>
      </w:r>
      <w:proofErr w:type="gramEnd"/>
      <w:r w:rsidRPr="00A779A5">
        <w:rPr>
          <w:rFonts w:ascii="Verdana" w:eastAsia="Times New Roman" w:hAnsi="Verdana" w:cs="Times New Roman"/>
          <w:color w:val="000000"/>
          <w:kern w:val="0"/>
          <w:sz w:val="18"/>
          <w:szCs w:val="18"/>
          <w:lang w:eastAsia="nl-NL"/>
          <w14:ligatures w14:val="none"/>
        </w:rPr>
        <w:t xml:space="preserve"> op het beroep in cassatie van X te Z (hierna: belanghebbende) tegen de uitspraak van de Centrale Raad van Beroep van 29 december 2009, nr. 08/3850 AKW, op het hoger beroep van belanghebbende tegen de uitspraak van de Rechtbank te Amsterdam van 16 mei 2008 (nr. 07/70 AKW) betreffende een besluit ingevolge de Algemene Kinderbijslagwet.</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1. Het geding in feitelijke instanties</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Bij besluit van 13 april 2006 heeft de Sociale verzekeringsbank de door belanghebbende ingediende aanvraag tot toekenning van kinderbijslag ingevolge de Algemene Kinderbijslagwet (hierna: de AKW) afgewezen.</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De Sociale verzekeringsbank heeft het tegen dit besluit gemaakte bezwaar ongegrond verklaard voor zover het betrekking heeft op het recht op kinderbijslag over het jaar 2005.</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De Rechtbank te Amsterdam (nr. 07/70 AKW) heeft het tegen die beslissing ingestelde beroep gegrond verklaard en het besluit op bezwaar voor zover dat betrekking heeft op het recht op kinderbijslag over het jaar 2005 vernietigd.</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De Sociale verzekeringsbank heeft tegen de uitspraak van de Rechtbank hoger beroep ingesteld bij de Centrale Raad.</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De Centrale Raad heeft de uitspraak van de Rechtbank vernietigd en het beroep ongegrond verklaard. De uitspraak van de Centrale Raad is aan dit arrest gehecht.</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2. Geding in cassatie</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Belanghebbende heeft tegen de uitspraak van de Centrale Raad beroep in cassatie ingesteld. Het beroepschrift in cassatie is aan dit arrest gehecht en maakt daarvan deel uit.</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De Sociale verzekeringsbank heeft een verweerschrift ingediend.</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Belanghebbende heeft een conclusie van repliek ingediend.</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3. Beoordeling van de klachten</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3.1. In cassatie kan van het volgende worden uitgegaan. </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3.1.1. Belanghebbende heeft de Azerbeidzjaanse nationaliteit. Hij is op 26 januari 2000 Nederland binnengekomen en heeft op 18 februari 2000 een verblijfsvergunning asiel voor bepaalde tijd aangevraagd. Deze is hem aanvankelijk geweigerd. Op 23 december 2005 heeft de minister voor Vreemdelingenzaken en Integratie aan belanghebbende alsnog een verblijfsvergunning asiel voor bepaalde tijd verleend, geldig van 18 februari 2000 tot 18 februari 2003, alsmede een verblijfsvergunning asiel voor onbepaalde tijd met ingang van 18 februari 2003.</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lastRenderedPageBreak/>
        <w:t xml:space="preserve">3.1.2. </w:t>
      </w:r>
      <w:proofErr w:type="spellStart"/>
      <w:r w:rsidRPr="00A779A5">
        <w:rPr>
          <w:rFonts w:ascii="Verdana" w:eastAsia="Times New Roman" w:hAnsi="Verdana" w:cs="Times New Roman"/>
          <w:color w:val="000000"/>
          <w:kern w:val="0"/>
          <w:sz w:val="18"/>
          <w:szCs w:val="18"/>
          <w:lang w:eastAsia="nl-NL"/>
          <w14:ligatures w14:val="none"/>
        </w:rPr>
        <w:t>Belanghebbendes</w:t>
      </w:r>
      <w:proofErr w:type="spellEnd"/>
      <w:r w:rsidRPr="00A779A5">
        <w:rPr>
          <w:rFonts w:ascii="Verdana" w:eastAsia="Times New Roman" w:hAnsi="Verdana" w:cs="Times New Roman"/>
          <w:color w:val="000000"/>
          <w:kern w:val="0"/>
          <w:sz w:val="18"/>
          <w:szCs w:val="18"/>
          <w:lang w:eastAsia="nl-NL"/>
          <w14:ligatures w14:val="none"/>
        </w:rPr>
        <w:t xml:space="preserve"> directe familie verblijft sinds 2000 in Nederland. Zijn kinderen gaan sinds 2002 in Nederland naar school. Belanghebbende en zijn gezin hebben zich met inzet en overtuiging gericht op integratie in de Nederlandse samenleving en hebben hun sociale banden met het land van herkomst verbroken. </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3.1.3. Belanghebbende heeft in het jaar 2005 in Nederland vrijwilligerswerk verricht. </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 xml:space="preserve">3.1.4. Met ingang van 25 augustus 2003, en ook in het onderhavige jaar 2005, volgde belanghebbende een </w:t>
      </w:r>
      <w:proofErr w:type="spellStart"/>
      <w:r w:rsidRPr="00A779A5">
        <w:rPr>
          <w:rFonts w:ascii="Verdana" w:eastAsia="Times New Roman" w:hAnsi="Verdana" w:cs="Times New Roman"/>
          <w:color w:val="000000"/>
          <w:kern w:val="0"/>
          <w:sz w:val="18"/>
          <w:szCs w:val="18"/>
          <w:lang w:eastAsia="nl-NL"/>
          <w14:ligatures w14:val="none"/>
        </w:rPr>
        <w:t>HBO-opleiding</w:t>
      </w:r>
      <w:proofErr w:type="spellEnd"/>
      <w:r w:rsidRPr="00A779A5">
        <w:rPr>
          <w:rFonts w:ascii="Verdana" w:eastAsia="Times New Roman" w:hAnsi="Verdana" w:cs="Times New Roman"/>
          <w:color w:val="000000"/>
          <w:kern w:val="0"/>
          <w:sz w:val="18"/>
          <w:szCs w:val="18"/>
          <w:lang w:eastAsia="nl-NL"/>
          <w14:ligatures w14:val="none"/>
        </w:rPr>
        <w:t xml:space="preserve"> weg- en waterbouwkunde die is gericht op toekomstige inkomensverwerving. Hij heeft in het kader van deze opleiding een stage gevolgd en daarvoor een onkostenvergoeding ontvangen.</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 xml:space="preserve">3.2. Voor de Centrale Raad was in geschil of de Sociale verzekeringsbank </w:t>
      </w:r>
      <w:proofErr w:type="spellStart"/>
      <w:r w:rsidRPr="00A779A5">
        <w:rPr>
          <w:rFonts w:ascii="Verdana" w:eastAsia="Times New Roman" w:hAnsi="Verdana" w:cs="Times New Roman"/>
          <w:color w:val="000000"/>
          <w:kern w:val="0"/>
          <w:sz w:val="18"/>
          <w:szCs w:val="18"/>
          <w:lang w:eastAsia="nl-NL"/>
          <w14:ligatures w14:val="none"/>
        </w:rPr>
        <w:t>belanghebbendes</w:t>
      </w:r>
      <w:proofErr w:type="spellEnd"/>
      <w:r w:rsidRPr="00A779A5">
        <w:rPr>
          <w:rFonts w:ascii="Verdana" w:eastAsia="Times New Roman" w:hAnsi="Verdana" w:cs="Times New Roman"/>
          <w:color w:val="000000"/>
          <w:kern w:val="0"/>
          <w:sz w:val="18"/>
          <w:szCs w:val="18"/>
          <w:lang w:eastAsia="nl-NL"/>
          <w14:ligatures w14:val="none"/>
        </w:rPr>
        <w:t xml:space="preserve"> aanvraag om kinderbijslag over het jaar 2005 terecht heeft afgewezen op de grond dat belanghebbende op de relevante peildata in dat jaar niet verzekerd was op grond van de AKW omdat hij nog geen ingezetene van Nederland was als bedoeld in artikel 2 van die wet.</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3.3.1. Daartoe heeft de Centrale Raad onder meer overwogen dat de binding van belanghebbende met Nederland die voortvloeit uit een verblijf hier te lande van ruimschoots drie jaar minder gewicht heeft dan de binding welke voortvloeit uit verlening van een verblijfsvergunning voor onbepaalde tijd. Daarbij heeft de Centrale Raad in het midden gelaten of een verblijf in Nederland van meer dan drie jaar, gelet op beleidsregel SB1023 van de Sociale verzekeringsbank, is aan te merken als een vorm van juridische binding.</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3.3.2. Voorts heeft de Centrale Raad overwogen dat vorenbedoelde lichtere juridische binding geen grond kan opleveren om geheel voorbij te zien aan het geheel ontbreken van enige economische binding. Het verrichten van vrijwilligerswerk en het volgen van de in 3.1.4 bedoelde opleiding door belanghebbende levert volgens de Centrale Raad niet een economische binding met Nederland op.</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 xml:space="preserve">3.3.3. De Centrale Raad is tot de slotsom gekomen dat belanghebbende in 2005 geen ingezetene van Nederland was, ondanks de omstandigheid dat uit de in 3.1.2 vermelde feiten een verhoudingsgewijs aanzienlijke sociale binding met Nederland voortvloeit. Ook in combinatie met de band die voortvloeit uit de duur van </w:t>
      </w:r>
      <w:proofErr w:type="spellStart"/>
      <w:r w:rsidRPr="00A779A5">
        <w:rPr>
          <w:rFonts w:ascii="Verdana" w:eastAsia="Times New Roman" w:hAnsi="Verdana" w:cs="Times New Roman"/>
          <w:color w:val="000000"/>
          <w:kern w:val="0"/>
          <w:sz w:val="18"/>
          <w:szCs w:val="18"/>
          <w:lang w:eastAsia="nl-NL"/>
          <w14:ligatures w14:val="none"/>
        </w:rPr>
        <w:t>belanghebbendes</w:t>
      </w:r>
      <w:proofErr w:type="spellEnd"/>
      <w:r w:rsidRPr="00A779A5">
        <w:rPr>
          <w:rFonts w:ascii="Verdana" w:eastAsia="Times New Roman" w:hAnsi="Verdana" w:cs="Times New Roman"/>
          <w:color w:val="000000"/>
          <w:kern w:val="0"/>
          <w:sz w:val="18"/>
          <w:szCs w:val="18"/>
          <w:lang w:eastAsia="nl-NL"/>
          <w14:ligatures w14:val="none"/>
        </w:rPr>
        <w:t xml:space="preserve"> verblijf in Nederland, biedt deze omstandigheid naar het oordeel van de Centrale Raad onvoldoende grond om het criterium van economische binding geheel en al ter zijde te stellen. </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3.4. Het middel voert onder meer de klacht aan dat de Centrale Raad met het laatstgenoemde oordeel blijk heeft gegeven van een onjuiste opvatting omtrent het begrip ingezetene in de AKW. </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3.5.1. Bij de beoordeling van deze klacht moet worden vooropgesteld dat tegen uitspraken van de Centrale Raad die betrekking hebben op een besluit dat is gebaseerd op de AKW, beroep in cassatie openstaat ter zake van schending of verkeerde toepassing van de regels over de woonplaats en de verzekeringsplicht in de artikelen 2, 3 en 6 van die wet en de daarop gebaseerde bepalingen. Naar aanleiding van de in 3.4 omschreven klacht kan de Hoge Raad derhalve oordelen of de Centrale Raad met zijn daarin bestreden oordeel blijk heeft gegeven van een onjuiste opvatting omtrent de begrippen ingezetene en wonen in de artikelen 2 en 3 van de AKW.</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 xml:space="preserve">Opmerking verdient dat de uitspraak van de Centrale Raad geen oordeel inhoudt over de vraag of er andere gronden waren om aan te nemen dat belanghebbende in 2005 niet verzekerd was, zoals toepassing van het bepaalde in artikel 6, lid 2, van de AKW, waarnaar de Sociale verzekeringsbank </w:t>
      </w:r>
      <w:r w:rsidRPr="00A779A5">
        <w:rPr>
          <w:rFonts w:ascii="Verdana" w:eastAsia="Times New Roman" w:hAnsi="Verdana" w:cs="Times New Roman"/>
          <w:color w:val="000000"/>
          <w:kern w:val="0"/>
          <w:sz w:val="18"/>
          <w:szCs w:val="18"/>
          <w:lang w:eastAsia="nl-NL"/>
          <w14:ligatures w14:val="none"/>
        </w:rPr>
        <w:lastRenderedPageBreak/>
        <w:t xml:space="preserve">in het </w:t>
      </w:r>
      <w:proofErr w:type="spellStart"/>
      <w:r w:rsidRPr="00A779A5">
        <w:rPr>
          <w:rFonts w:ascii="Verdana" w:eastAsia="Times New Roman" w:hAnsi="Verdana" w:cs="Times New Roman"/>
          <w:color w:val="000000"/>
          <w:kern w:val="0"/>
          <w:sz w:val="18"/>
          <w:szCs w:val="18"/>
          <w:lang w:eastAsia="nl-NL"/>
          <w14:ligatures w14:val="none"/>
        </w:rPr>
        <w:t>hogerberoepschrift</w:t>
      </w:r>
      <w:proofErr w:type="spellEnd"/>
      <w:r w:rsidRPr="00A779A5">
        <w:rPr>
          <w:rFonts w:ascii="Verdana" w:eastAsia="Times New Roman" w:hAnsi="Verdana" w:cs="Times New Roman"/>
          <w:color w:val="000000"/>
          <w:kern w:val="0"/>
          <w:sz w:val="18"/>
          <w:szCs w:val="18"/>
          <w:lang w:eastAsia="nl-NL"/>
          <w14:ligatures w14:val="none"/>
        </w:rPr>
        <w:t xml:space="preserve"> heeft verwezen. Daarom zal de Hoge Raad alleen een oordeel geven over de beslissing van de Centrale Raad omtrent de woonplaats van belanghebbende.</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 xml:space="preserve">3.5.2. Bij de beoordeling van de in 3.4 omschreven klacht moet verder worden vooropgesteld dat de wetgever met het woonplaatsbegrip in de volksverzekeringswetten heeft beoogd aan te sluiten bij het fiscale woonplaatsbegrip (zie met betrekking tot de AKW Kamerstukken II 1957/58, 4953, nr. 3, blz. 31 </w:t>
      </w:r>
      <w:proofErr w:type="spellStart"/>
      <w:r w:rsidRPr="00A779A5">
        <w:rPr>
          <w:rFonts w:ascii="Verdana" w:eastAsia="Times New Roman" w:hAnsi="Verdana" w:cs="Times New Roman"/>
          <w:color w:val="000000"/>
          <w:kern w:val="0"/>
          <w:sz w:val="18"/>
          <w:szCs w:val="18"/>
          <w:lang w:eastAsia="nl-NL"/>
          <w14:ligatures w14:val="none"/>
        </w:rPr>
        <w:t>r.k.</w:t>
      </w:r>
      <w:proofErr w:type="spellEnd"/>
      <w:r w:rsidRPr="00A779A5">
        <w:rPr>
          <w:rFonts w:ascii="Verdana" w:eastAsia="Times New Roman" w:hAnsi="Verdana" w:cs="Times New Roman"/>
          <w:color w:val="000000"/>
          <w:kern w:val="0"/>
          <w:sz w:val="18"/>
          <w:szCs w:val="18"/>
          <w:lang w:eastAsia="nl-NL"/>
          <w14:ligatures w14:val="none"/>
        </w:rPr>
        <w:t>, onder Artikel 3). Om te vermijden dat dit eenvormige begrip door de rechter in zaken betreffende de sociale zekerheid op een andere wijze wordt uitgelegd dan door de rechter in belastingzaken, is de in 3.5.1 bedoelde regeling getroffen, op grond waarvan de Hoge Raad is aangewezen als hoogste rechter met betrekking tot de uitleg van dit woonplaatsbegrip (zie Kamerstukken II 1957/58, 4953, nr. 3, blz. 37-38). </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3.5.3. Degene die in Nederland woont wordt op grond van artikel 2 van de AKW voor de toepassing van die wet als ingezetene aangemerkt. Waar iemand woont wordt op grond van artikel 3, lid 1, van de AKW naar de omstandigheden beoordeeld. Daarbij moet acht worden geslagen op alle in aanmerking komende omstandigheden van het geval. Het komt er volgens vaste rechtspraak op aan of deze omstandigheden van dien aard zijn, dat een duurzame band van persoonlijke aard bestaat tussen de betrokkene en Nederland (zie bijvoorbeeld HR 20 december 1995, nr. 30452, BNB 1996/161). Die duurzame band hoeft niet sterker te zijn dan de band met enig ander land, zodat voor een woonplaats hier te lande niet noodzakelijk is dat het middelpunt van iemands maatschappelijke leven zich in Nederland bevindt (zie HR 22 december 1971, nr. 16650, BNB 1973/120).</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Uit de parlementaire geschiedenis van het fiscale woonplaatsbegrip, zoals weergegeven in de bijlage bij de conclusie van de Advocaat-Generaal bij het arrest van de Hoge Raad van 2 juni 2006, nr. 41392, LJN AV1227, BNB 2006/337, volgt dat de wetgever geen bijzondere betekenis wilde toekennen aan bepaalde (categorieën) omstandigheden, zoals bijvoorbeeld iemands sociale of economische binding met een land. Die parlementaire geschiedenis is, op grond van hetgeen in 3.5.2 is vooropgesteld, ook maatgevend voor de uitleg van het begrip woonplaats in de AKW. In het licht daarvan moet worden aangenomen dat voor de aanwezigheid van een woonplaats in Nederland niet is vereist dat de betrokkene economische banden met Nederland heeft, bijvoorbeeld door het verrichten van betaalde arbeid.</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3.5.4. In zijn uitspraak, zoals weergegeven onder 3.3, heeft de Centrale Raad kennelijk de verschillende in zijn oordeel betrokken omstandigheden gerubriceerd in factoren die een juridische, een economische dan wel een sociale binding met Nederland meebrengen. Die rubricering heeft plaatsgevonden omdat de Centrale Raad, naar de Hoge Raad begrijpt, van oordeel is dat voor de vraag of iemand woonplaats in Nederland heeft alleen omstandigheden een rol kunnen spelen indien die kunnen worden gerubriceerd als factoren die een juridische, economische of sociale binding met Nederland opleveren. Aldus begrepen berust het oordeel van de Centrale Raad op een rechtsopvatting die afwijkt van hetgeen in 3.5.3 is overwogen, en derhalve onjuist is. Het middel slaagt in zoverre.</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 xml:space="preserve">3.5.5. In de uitspraak van de Centrale Raad ligt verder het oordeel besloten dat een economische binding met Nederland bij het ontbreken van sterke juridische binding noodzakelijk is om een woonplaats hier te lande aan te nemen. In het licht van hetgeen in 3.5.3 is overwogen, geeft de </w:t>
      </w:r>
      <w:r w:rsidRPr="00A779A5">
        <w:rPr>
          <w:rFonts w:ascii="Verdana" w:eastAsia="Times New Roman" w:hAnsi="Verdana" w:cs="Times New Roman"/>
          <w:color w:val="000000"/>
          <w:kern w:val="0"/>
          <w:sz w:val="18"/>
          <w:szCs w:val="18"/>
          <w:lang w:eastAsia="nl-NL"/>
          <w14:ligatures w14:val="none"/>
        </w:rPr>
        <w:lastRenderedPageBreak/>
        <w:t>uitspraak van de Centrale Raad ook in zoverre blijk van een onjuiste rechtsopvatting. Het middel slaagt ook in zoverre, en behoeft voor het overige geen bespreking.</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3.6. De uitspraak van de Centrale Raad kan niet in stand blijven. Verwijzing moet volgen voor een hernieuwd onderzoek van de zaak. </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4. Proceskosten</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De Sociale verzekeringsbank zal worden veroordeeld in de kosten van het geding in cassatie. Door de Centrale Raad zal worden beoordeeld of aan belanghebbende voor de kosten van het geding voor de Centrale Raad en van het geding voor de Rechtbank een vergoeding dient te worden toegekend.</w:t>
      </w:r>
    </w:p>
    <w:p w:rsidR="00A779A5" w:rsidRPr="00A779A5" w:rsidRDefault="00A779A5" w:rsidP="00A779A5">
      <w:pPr>
        <w:spacing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5. Beslissing</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De Hoge Raad:</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proofErr w:type="gramStart"/>
      <w:r w:rsidRPr="00A779A5">
        <w:rPr>
          <w:rFonts w:ascii="Verdana" w:eastAsia="Times New Roman" w:hAnsi="Verdana" w:cs="Times New Roman"/>
          <w:color w:val="000000"/>
          <w:kern w:val="0"/>
          <w:sz w:val="18"/>
          <w:szCs w:val="18"/>
          <w:lang w:eastAsia="nl-NL"/>
          <w14:ligatures w14:val="none"/>
        </w:rPr>
        <w:t>verklaart</w:t>
      </w:r>
      <w:proofErr w:type="gramEnd"/>
      <w:r w:rsidRPr="00A779A5">
        <w:rPr>
          <w:rFonts w:ascii="Verdana" w:eastAsia="Times New Roman" w:hAnsi="Verdana" w:cs="Times New Roman"/>
          <w:color w:val="000000"/>
          <w:kern w:val="0"/>
          <w:sz w:val="18"/>
          <w:szCs w:val="18"/>
          <w:lang w:eastAsia="nl-NL"/>
          <w14:ligatures w14:val="none"/>
        </w:rPr>
        <w:t xml:space="preserve"> het beroep in cassatie gegrond,</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proofErr w:type="gramStart"/>
      <w:r w:rsidRPr="00A779A5">
        <w:rPr>
          <w:rFonts w:ascii="Verdana" w:eastAsia="Times New Roman" w:hAnsi="Verdana" w:cs="Times New Roman"/>
          <w:color w:val="000000"/>
          <w:kern w:val="0"/>
          <w:sz w:val="18"/>
          <w:szCs w:val="18"/>
          <w:lang w:eastAsia="nl-NL"/>
          <w14:ligatures w14:val="none"/>
        </w:rPr>
        <w:t>vernietigt</w:t>
      </w:r>
      <w:proofErr w:type="gramEnd"/>
      <w:r w:rsidRPr="00A779A5">
        <w:rPr>
          <w:rFonts w:ascii="Verdana" w:eastAsia="Times New Roman" w:hAnsi="Verdana" w:cs="Times New Roman"/>
          <w:color w:val="000000"/>
          <w:kern w:val="0"/>
          <w:sz w:val="18"/>
          <w:szCs w:val="18"/>
          <w:lang w:eastAsia="nl-NL"/>
          <w14:ligatures w14:val="none"/>
        </w:rPr>
        <w:t xml:space="preserve"> de uitspraak van de Centrale Raad,</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proofErr w:type="gramStart"/>
      <w:r w:rsidRPr="00A779A5">
        <w:rPr>
          <w:rFonts w:ascii="Verdana" w:eastAsia="Times New Roman" w:hAnsi="Verdana" w:cs="Times New Roman"/>
          <w:color w:val="000000"/>
          <w:kern w:val="0"/>
          <w:sz w:val="18"/>
          <w:szCs w:val="18"/>
          <w:lang w:eastAsia="nl-NL"/>
          <w14:ligatures w14:val="none"/>
        </w:rPr>
        <w:t>verwijst</w:t>
      </w:r>
      <w:proofErr w:type="gramEnd"/>
      <w:r w:rsidRPr="00A779A5">
        <w:rPr>
          <w:rFonts w:ascii="Verdana" w:eastAsia="Times New Roman" w:hAnsi="Verdana" w:cs="Times New Roman"/>
          <w:color w:val="000000"/>
          <w:kern w:val="0"/>
          <w:sz w:val="18"/>
          <w:szCs w:val="18"/>
          <w:lang w:eastAsia="nl-NL"/>
          <w14:ligatures w14:val="none"/>
        </w:rPr>
        <w:t xml:space="preserve"> het geding naar de Centrale Raad ter verdere behandeling en beslissing van de zaak met inachtneming van dit arrest,</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proofErr w:type="gramStart"/>
      <w:r w:rsidRPr="00A779A5">
        <w:rPr>
          <w:rFonts w:ascii="Verdana" w:eastAsia="Times New Roman" w:hAnsi="Verdana" w:cs="Times New Roman"/>
          <w:color w:val="000000"/>
          <w:kern w:val="0"/>
          <w:sz w:val="18"/>
          <w:szCs w:val="18"/>
          <w:lang w:eastAsia="nl-NL"/>
          <w14:ligatures w14:val="none"/>
        </w:rPr>
        <w:t>gelast</w:t>
      </w:r>
      <w:proofErr w:type="gramEnd"/>
      <w:r w:rsidRPr="00A779A5">
        <w:rPr>
          <w:rFonts w:ascii="Verdana" w:eastAsia="Times New Roman" w:hAnsi="Verdana" w:cs="Times New Roman"/>
          <w:color w:val="000000"/>
          <w:kern w:val="0"/>
          <w:sz w:val="18"/>
          <w:szCs w:val="18"/>
          <w:lang w:eastAsia="nl-NL"/>
          <w14:ligatures w14:val="none"/>
        </w:rPr>
        <w:t xml:space="preserve"> dat de Sociale verzekeringsbank aan belanghebbende vergoedt het door deze ter zake van de behandeling van het beroep in cassatie verschuldigd geworden griffierecht ten bedrage van € 110, en </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proofErr w:type="gramStart"/>
      <w:r w:rsidRPr="00A779A5">
        <w:rPr>
          <w:rFonts w:ascii="Verdana" w:eastAsia="Times New Roman" w:hAnsi="Verdana" w:cs="Times New Roman"/>
          <w:color w:val="000000"/>
          <w:kern w:val="0"/>
          <w:sz w:val="18"/>
          <w:szCs w:val="18"/>
          <w:lang w:eastAsia="nl-NL"/>
          <w14:ligatures w14:val="none"/>
        </w:rPr>
        <w:t>veroordeelt</w:t>
      </w:r>
      <w:proofErr w:type="gramEnd"/>
      <w:r w:rsidRPr="00A779A5">
        <w:rPr>
          <w:rFonts w:ascii="Verdana" w:eastAsia="Times New Roman" w:hAnsi="Verdana" w:cs="Times New Roman"/>
          <w:color w:val="000000"/>
          <w:kern w:val="0"/>
          <w:sz w:val="18"/>
          <w:szCs w:val="18"/>
          <w:lang w:eastAsia="nl-NL"/>
          <w14:ligatures w14:val="none"/>
        </w:rPr>
        <w:t xml:space="preserve"> de Sociale verzekeringsbank in de kosten van het geding in cassatie aan de zijde van belanghebbende, vastgesteld op € 1748 voor beroepsmatig verleende rechtsbijstand.</w:t>
      </w:r>
    </w:p>
    <w:p w:rsidR="00A779A5" w:rsidRPr="00A779A5" w:rsidRDefault="00A779A5" w:rsidP="00A779A5">
      <w:pPr>
        <w:spacing w:after="75" w:line="336" w:lineRule="atLeast"/>
        <w:rPr>
          <w:rFonts w:ascii="Verdana" w:eastAsia="Times New Roman" w:hAnsi="Verdana" w:cs="Times New Roman"/>
          <w:color w:val="000000"/>
          <w:kern w:val="0"/>
          <w:sz w:val="18"/>
          <w:szCs w:val="18"/>
          <w:lang w:eastAsia="nl-NL"/>
          <w14:ligatures w14:val="none"/>
        </w:rPr>
      </w:pPr>
      <w:r w:rsidRPr="00A779A5">
        <w:rPr>
          <w:rFonts w:ascii="Verdana" w:eastAsia="Times New Roman" w:hAnsi="Verdana" w:cs="Times New Roman"/>
          <w:color w:val="000000"/>
          <w:kern w:val="0"/>
          <w:sz w:val="18"/>
          <w:szCs w:val="18"/>
          <w:lang w:eastAsia="nl-NL"/>
          <w14:ligatures w14:val="none"/>
        </w:rPr>
        <w:t xml:space="preserve">Dit arrest is gewezen door de </w:t>
      </w:r>
      <w:proofErr w:type="spellStart"/>
      <w:r w:rsidRPr="00A779A5">
        <w:rPr>
          <w:rFonts w:ascii="Verdana" w:eastAsia="Times New Roman" w:hAnsi="Verdana" w:cs="Times New Roman"/>
          <w:color w:val="000000"/>
          <w:kern w:val="0"/>
          <w:sz w:val="18"/>
          <w:szCs w:val="18"/>
          <w:lang w:eastAsia="nl-NL"/>
          <w14:ligatures w14:val="none"/>
        </w:rPr>
        <w:t>vice-president</w:t>
      </w:r>
      <w:proofErr w:type="spellEnd"/>
      <w:r w:rsidRPr="00A779A5">
        <w:rPr>
          <w:rFonts w:ascii="Verdana" w:eastAsia="Times New Roman" w:hAnsi="Verdana" w:cs="Times New Roman"/>
          <w:color w:val="000000"/>
          <w:kern w:val="0"/>
          <w:sz w:val="18"/>
          <w:szCs w:val="18"/>
          <w:lang w:eastAsia="nl-NL"/>
          <w14:ligatures w14:val="none"/>
        </w:rPr>
        <w:t xml:space="preserve"> J.W. van den Berge als voorzitter, en de raadsheren C. Schaap, A.H.T. Heisterkamp, M.W.C. </w:t>
      </w:r>
      <w:proofErr w:type="spellStart"/>
      <w:r w:rsidRPr="00A779A5">
        <w:rPr>
          <w:rFonts w:ascii="Verdana" w:eastAsia="Times New Roman" w:hAnsi="Verdana" w:cs="Times New Roman"/>
          <w:color w:val="000000"/>
          <w:kern w:val="0"/>
          <w:sz w:val="18"/>
          <w:szCs w:val="18"/>
          <w:lang w:eastAsia="nl-NL"/>
          <w14:ligatures w14:val="none"/>
        </w:rPr>
        <w:t>Feteris</w:t>
      </w:r>
      <w:proofErr w:type="spellEnd"/>
      <w:r w:rsidRPr="00A779A5">
        <w:rPr>
          <w:rFonts w:ascii="Verdana" w:eastAsia="Times New Roman" w:hAnsi="Verdana" w:cs="Times New Roman"/>
          <w:color w:val="000000"/>
          <w:kern w:val="0"/>
          <w:sz w:val="18"/>
          <w:szCs w:val="18"/>
          <w:lang w:eastAsia="nl-NL"/>
          <w14:ligatures w14:val="none"/>
        </w:rPr>
        <w:t xml:space="preserve"> en R.J. Koopman, in tegenwoordigheid van de waarnemend griffier F. Treuren, en in het openbaar uitgesproken op 21 januari 2011.</w:t>
      </w:r>
    </w:p>
    <w:p w:rsidR="00094D1F" w:rsidRPr="00A779A5" w:rsidRDefault="00094D1F" w:rsidP="00A779A5"/>
    <w:sectPr w:rsidR="00094D1F" w:rsidRPr="00A779A5"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A0D01"/>
    <w:multiLevelType w:val="multilevel"/>
    <w:tmpl w:val="2AFE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513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9A5"/>
    <w:rsid w:val="00017EE2"/>
    <w:rsid w:val="00094D1F"/>
    <w:rsid w:val="001C5DB1"/>
    <w:rsid w:val="00A779A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2CAE1B0A"/>
  <w15:chartTrackingRefBased/>
  <w15:docId w15:val="{6C2A2F14-5788-6D4E-BBB4-A4A98C55F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3">
    <w:name w:val="heading 3"/>
    <w:basedOn w:val="Standaard"/>
    <w:link w:val="Kop3Char"/>
    <w:uiPriority w:val="9"/>
    <w:qFormat/>
    <w:rsid w:val="00A779A5"/>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A779A5"/>
    <w:rPr>
      <w:rFonts w:ascii="Times New Roman" w:eastAsia="Times New Roman" w:hAnsi="Times New Roman" w:cs="Times New Roman"/>
      <w:b/>
      <w:bCs/>
      <w:kern w:val="0"/>
      <w:sz w:val="27"/>
      <w:szCs w:val="27"/>
      <w:lang w:eastAsia="nl-NL"/>
      <w14:ligatures w14:val="none"/>
    </w:rPr>
  </w:style>
  <w:style w:type="paragraph" w:styleId="Normaalweb">
    <w:name w:val="Normal (Web)"/>
    <w:basedOn w:val="Standaard"/>
    <w:uiPriority w:val="99"/>
    <w:semiHidden/>
    <w:unhideWhenUsed/>
    <w:rsid w:val="00A779A5"/>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apple-converted-space">
    <w:name w:val="apple-converted-space"/>
    <w:basedOn w:val="Standaardalinea-lettertype"/>
    <w:rsid w:val="00A77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17589">
      <w:bodyDiv w:val="1"/>
      <w:marLeft w:val="0"/>
      <w:marRight w:val="0"/>
      <w:marTop w:val="0"/>
      <w:marBottom w:val="0"/>
      <w:divBdr>
        <w:top w:val="none" w:sz="0" w:space="0" w:color="auto"/>
        <w:left w:val="none" w:sz="0" w:space="0" w:color="auto"/>
        <w:bottom w:val="none" w:sz="0" w:space="0" w:color="auto"/>
        <w:right w:val="none" w:sz="0" w:space="0" w:color="auto"/>
      </w:divBdr>
      <w:divsChild>
        <w:div w:id="747580883">
          <w:marLeft w:val="0"/>
          <w:marRight w:val="300"/>
          <w:marTop w:val="0"/>
          <w:marBottom w:val="0"/>
          <w:divBdr>
            <w:top w:val="none" w:sz="0" w:space="0" w:color="auto"/>
            <w:left w:val="none" w:sz="0" w:space="0" w:color="auto"/>
            <w:bottom w:val="none" w:sz="0" w:space="0" w:color="auto"/>
            <w:right w:val="none" w:sz="0" w:space="0" w:color="auto"/>
          </w:divBdr>
          <w:divsChild>
            <w:div w:id="1841039738">
              <w:marLeft w:val="0"/>
              <w:marRight w:val="0"/>
              <w:marTop w:val="0"/>
              <w:marBottom w:val="0"/>
              <w:divBdr>
                <w:top w:val="none" w:sz="0" w:space="0" w:color="auto"/>
                <w:left w:val="none" w:sz="0" w:space="0" w:color="auto"/>
                <w:bottom w:val="none" w:sz="0" w:space="0" w:color="auto"/>
                <w:right w:val="none" w:sz="0" w:space="0" w:color="auto"/>
              </w:divBdr>
            </w:div>
            <w:div w:id="557399256">
              <w:marLeft w:val="0"/>
              <w:marRight w:val="0"/>
              <w:marTop w:val="0"/>
              <w:marBottom w:val="0"/>
              <w:divBdr>
                <w:top w:val="none" w:sz="0" w:space="0" w:color="auto"/>
                <w:left w:val="none" w:sz="0" w:space="0" w:color="auto"/>
                <w:bottom w:val="none" w:sz="0" w:space="0" w:color="auto"/>
                <w:right w:val="none" w:sz="0" w:space="0" w:color="auto"/>
              </w:divBdr>
            </w:div>
            <w:div w:id="1334064711">
              <w:marLeft w:val="0"/>
              <w:marRight w:val="0"/>
              <w:marTop w:val="0"/>
              <w:marBottom w:val="0"/>
              <w:divBdr>
                <w:top w:val="none" w:sz="0" w:space="0" w:color="auto"/>
                <w:left w:val="none" w:sz="0" w:space="0" w:color="auto"/>
                <w:bottom w:val="none" w:sz="0" w:space="0" w:color="auto"/>
                <w:right w:val="none" w:sz="0" w:space="0" w:color="auto"/>
              </w:divBdr>
            </w:div>
            <w:div w:id="1775635089">
              <w:marLeft w:val="0"/>
              <w:marRight w:val="0"/>
              <w:marTop w:val="0"/>
              <w:marBottom w:val="0"/>
              <w:divBdr>
                <w:top w:val="none" w:sz="0" w:space="0" w:color="auto"/>
                <w:left w:val="none" w:sz="0" w:space="0" w:color="auto"/>
                <w:bottom w:val="none" w:sz="0" w:space="0" w:color="auto"/>
                <w:right w:val="none" w:sz="0" w:space="0" w:color="auto"/>
              </w:divBdr>
            </w:div>
            <w:div w:id="1460488467">
              <w:marLeft w:val="0"/>
              <w:marRight w:val="0"/>
              <w:marTop w:val="0"/>
              <w:marBottom w:val="0"/>
              <w:divBdr>
                <w:top w:val="none" w:sz="0" w:space="0" w:color="auto"/>
                <w:left w:val="none" w:sz="0" w:space="0" w:color="auto"/>
                <w:bottom w:val="none" w:sz="0" w:space="0" w:color="auto"/>
                <w:right w:val="none" w:sz="0" w:space="0" w:color="auto"/>
              </w:divBdr>
            </w:div>
            <w:div w:id="177852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1721</Words>
  <Characters>9469</Characters>
  <Application>Microsoft Office Word</Application>
  <DocSecurity>0</DocSecurity>
  <Lines>78</Lines>
  <Paragraphs>22</Paragraphs>
  <ScaleCrop>false</ScaleCrop>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2025-10-30T19:17:00Z</dcterms:created>
  <dcterms:modified xsi:type="dcterms:W3CDTF">2025-10-30T19:17:00Z</dcterms:modified>
</cp:coreProperties>
</file>