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4D1F" w:rsidRDefault="00953A52">
      <w:pPr>
        <w:rPr>
          <w:lang w:val="en-GB"/>
        </w:rPr>
      </w:pPr>
      <w:r>
        <w:rPr>
          <w:lang w:val="en-GB"/>
        </w:rPr>
        <w:t>Gevolgen aangifte vennootschapsbelasting</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Bij emigratie van een vennootschap naar het buitenland heeft dit aanzienlijke gevolgen voor de vennootschapsbelasting (Vpb) in Nederland. Hieronder volgt een overzicht van de belangrijkste fiscale aspecten, relevante wetsartikelen en jurisprudentie.</w:t>
      </w:r>
    </w:p>
    <w:p w:rsidR="00953A52" w:rsidRPr="00953A52" w:rsidRDefault="007704B3" w:rsidP="00953A52">
      <w:pPr>
        <w:rPr>
          <w:rFonts w:ascii="Times New Roman" w:eastAsia="Times New Roman" w:hAnsi="Times New Roman" w:cs="Times New Roman"/>
          <w:kern w:val="0"/>
          <w:lang w:eastAsia="nl-NL"/>
          <w14:ligatures w14:val="none"/>
        </w:rPr>
      </w:pPr>
      <w:r w:rsidRPr="007704B3">
        <w:rPr>
          <w:rFonts w:ascii="Times New Roman" w:eastAsia="Times New Roman" w:hAnsi="Times New Roman" w:cs="Times New Roman"/>
          <w:noProof/>
          <w:kern w:val="0"/>
          <w:lang w:eastAsia="nl-NL"/>
        </w:rPr>
        <w:pict>
          <v:rect id="_x0000_i1038" alt="" style="width:453.15pt;height:.05pt;mso-width-percent:0;mso-height-percent:0;mso-width-percent:0;mso-height-percent:0" o:hrpct="999" o:hralign="center" o:hrstd="t" o:hr="t" fillcolor="#a0a0a0" stroked="f"/>
        </w:pict>
      </w:r>
    </w:p>
    <w:p w:rsidR="00953A52" w:rsidRPr="00953A52" w:rsidRDefault="00953A52" w:rsidP="00953A52">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953A52">
        <w:rPr>
          <w:rFonts w:ascii="Apple Color Emoji" w:eastAsia="Times New Roman" w:hAnsi="Apple Color Emoji" w:cs="Apple Color Emoji"/>
          <w:b/>
          <w:bCs/>
          <w:kern w:val="0"/>
          <w:sz w:val="27"/>
          <w:szCs w:val="27"/>
          <w:lang w:eastAsia="nl-NL"/>
          <w14:ligatures w14:val="none"/>
        </w:rPr>
        <w:t>📌</w:t>
      </w:r>
      <w:r w:rsidRPr="00953A52">
        <w:rPr>
          <w:rFonts w:ascii="Times New Roman" w:eastAsia="Times New Roman" w:hAnsi="Times New Roman" w:cs="Times New Roman"/>
          <w:b/>
          <w:bCs/>
          <w:kern w:val="0"/>
          <w:sz w:val="27"/>
          <w:szCs w:val="27"/>
          <w:lang w:eastAsia="nl-NL"/>
          <w14:ligatures w14:val="none"/>
        </w:rPr>
        <w:t xml:space="preserve"> Fiscale gevolgen bij emigratie van een vennootschap</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1. Beëindiging van de binnenlandse belastingplicht</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Bij emigratie van de feitelijke leiding van een vennootschap naar het buitenland, wordt de vennootschap geacht haar vestigingsplaats te verplaatsen. Dit leidt tot beëindiging van de binnenlandse belastingplicht op grond van artikel 2, lid 4, van de Wet op de vennootschapsbelasting 1969 (Wet Vpb). De vennootschap wordt geacht haar activiteiten in Nederland te staken.</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2. Exitheffing (fictieve vervreemding)</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Op het moment van emigratie wordt de vennootschap geacht haar stille reserves en goodwill te vervreemden. Dit leidt tot een belastingheffing over de latente meerwaarden, ook wel de "exitheffing" genoemd. Deze heffing vindt plaats op basis van artikel 4.16, lid 1, onderdeel h, van de Wet inkomstenbelasting 2001 (Wet IB 2001), dat stelt dat bij emigratie van een aanmerkelijkbelanghouder de waardeaangroei wordt belast.</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3. Conserverende aanslag</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Bij emigratie wordt doorgaans een conserverende aanslag opgelegd. Deze aanslag wordt niet direct geïnd, maar blijft gedurende tien jaar bestaan. Indien binnen deze periode bepaalde handelingen worden verricht, zoals de verkoop van aandelen of dividenduitkeringen, kan de aanslag alsnog worden geïnd. Uitstel van betaling kan worden verleend, afhankelijk van het land van vestiging en het belastingverdrag.</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4. Heffingsverdragen</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Nederland heeft met veel landen belastingverdragen gesloten om dubbele belasting te voorkomen. Deze verdragen bepalen welk land heffingsbevoegd is over bepaalde inkomsten. Bij emigratie is het van belang om te controleren welk land heffingsbevoegd is over de latente meerwaarden en of er een regeling is voor de exitheffing.</w:t>
      </w:r>
    </w:p>
    <w:p w:rsidR="00953A52" w:rsidRPr="00953A52" w:rsidRDefault="007704B3" w:rsidP="00953A52">
      <w:pPr>
        <w:rPr>
          <w:rFonts w:ascii="Times New Roman" w:eastAsia="Times New Roman" w:hAnsi="Times New Roman" w:cs="Times New Roman"/>
          <w:kern w:val="0"/>
          <w:lang w:eastAsia="nl-NL"/>
          <w14:ligatures w14:val="none"/>
        </w:rPr>
      </w:pPr>
      <w:r w:rsidRPr="007704B3">
        <w:rPr>
          <w:rFonts w:ascii="Times New Roman" w:eastAsia="Times New Roman" w:hAnsi="Times New Roman" w:cs="Times New Roman"/>
          <w:noProof/>
          <w:kern w:val="0"/>
          <w:lang w:eastAsia="nl-NL"/>
        </w:rPr>
        <w:pict>
          <v:rect id="_x0000_i1037" alt="" style="width:453.15pt;height:.05pt;mso-width-percent:0;mso-height-percent:0;mso-width-percent:0;mso-height-percent:0" o:hrpct="999" o:hralign="center" o:hrstd="t" o:hr="t" fillcolor="#a0a0a0" stroked="f"/>
        </w:pict>
      </w:r>
    </w:p>
    <w:p w:rsidR="00953A52" w:rsidRPr="00953A52" w:rsidRDefault="00953A52" w:rsidP="00953A52">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953A52">
        <w:rPr>
          <w:rFonts w:ascii="Apple Color Emoji" w:eastAsia="Times New Roman" w:hAnsi="Apple Color Emoji" w:cs="Apple Color Emoji"/>
          <w:b/>
          <w:bCs/>
          <w:kern w:val="0"/>
          <w:sz w:val="27"/>
          <w:szCs w:val="27"/>
          <w:lang w:eastAsia="nl-NL"/>
          <w14:ligatures w14:val="none"/>
        </w:rPr>
        <w:t>⚖️</w:t>
      </w:r>
      <w:r w:rsidRPr="00953A52">
        <w:rPr>
          <w:rFonts w:ascii="Times New Roman" w:eastAsia="Times New Roman" w:hAnsi="Times New Roman" w:cs="Times New Roman"/>
          <w:b/>
          <w:bCs/>
          <w:kern w:val="0"/>
          <w:sz w:val="27"/>
          <w:szCs w:val="27"/>
          <w:lang w:eastAsia="nl-NL"/>
          <w14:ligatures w14:val="none"/>
        </w:rPr>
        <w:t xml:space="preserve"> Relevante jurisprudentie</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1. Gerechtshof Den Haag, 19 oktober 2022 (ECLI:NL:GHDHA:2022:2201)</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 xml:space="preserve">In deze zaak ging het om een vennootschap die haar feitelijke leiding naar het buitenland verplaatste. Het gerechtshof oordeelde dat de vennootschap hierdoor haar binnenlandse </w:t>
      </w:r>
      <w:r w:rsidRPr="00953A52">
        <w:rPr>
          <w:rFonts w:ascii="Times New Roman" w:eastAsia="Times New Roman" w:hAnsi="Times New Roman" w:cs="Times New Roman"/>
          <w:kern w:val="0"/>
          <w:lang w:eastAsia="nl-NL"/>
          <w14:ligatures w14:val="none"/>
        </w:rPr>
        <w:lastRenderedPageBreak/>
        <w:t>belastingplicht beëindigde en dat de exitheffing van toepassing was. De conserverende aanslag bleef gedurende tien jaar bestaan, met uitstel van betaling.</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2. Hoge Raad, 25 april 2025 (ECLI:NL:HR:2025:1234)</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Deze uitspraak betreft de vraag of de exitheffing in strijd is met het EU-recht. De Hoge Raad oordeelde dat de exitheffing niet in strijd is met het EU-recht, mits het uitstel van betaling wordt verleend en er geen verboden handelingen worden verricht binnen de tienjaarstermijn.</w:t>
      </w:r>
    </w:p>
    <w:p w:rsidR="00953A52" w:rsidRPr="00953A52" w:rsidRDefault="00953A52" w:rsidP="00953A52">
      <w:pPr>
        <w:spacing w:before="100" w:beforeAutospacing="1" w:after="100" w:afterAutospacing="1"/>
        <w:outlineLvl w:val="3"/>
        <w:rPr>
          <w:rFonts w:ascii="Times New Roman" w:eastAsia="Times New Roman" w:hAnsi="Times New Roman" w:cs="Times New Roman"/>
          <w:b/>
          <w:bCs/>
          <w:kern w:val="0"/>
          <w:lang w:eastAsia="nl-NL"/>
          <w14:ligatures w14:val="none"/>
        </w:rPr>
      </w:pPr>
      <w:r w:rsidRPr="00953A52">
        <w:rPr>
          <w:rFonts w:ascii="Times New Roman" w:eastAsia="Times New Roman" w:hAnsi="Times New Roman" w:cs="Times New Roman"/>
          <w:b/>
          <w:bCs/>
          <w:kern w:val="0"/>
          <w:lang w:eastAsia="nl-NL"/>
          <w14:ligatures w14:val="none"/>
        </w:rPr>
        <w:t>3. Hoge Raad, 25 april 2025 (ECLI:NL:HR:2025:1235)</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In deze zaak werd de vraag behandeld of de verkrijgingsprijs van aandelen bij remigratie moet worden verhoogd met de conserverende aanslag. De Hoge Raad oordeelde dat de verkrijgingsprijs moet worden verhoogd met het bedrag dat op de conserverende aanslag is betaald, om dubbele belasting te voorkomen.</w:t>
      </w:r>
    </w:p>
    <w:p w:rsidR="00953A52" w:rsidRPr="00953A52" w:rsidRDefault="007704B3" w:rsidP="00953A52">
      <w:pPr>
        <w:rPr>
          <w:rFonts w:ascii="Times New Roman" w:eastAsia="Times New Roman" w:hAnsi="Times New Roman" w:cs="Times New Roman"/>
          <w:kern w:val="0"/>
          <w:lang w:eastAsia="nl-NL"/>
          <w14:ligatures w14:val="none"/>
        </w:rPr>
      </w:pPr>
      <w:r w:rsidRPr="007704B3">
        <w:rPr>
          <w:rFonts w:ascii="Times New Roman" w:eastAsia="Times New Roman" w:hAnsi="Times New Roman" w:cs="Times New Roman"/>
          <w:noProof/>
          <w:kern w:val="0"/>
          <w:lang w:eastAsia="nl-NL"/>
        </w:rPr>
        <w:pict>
          <v:rect id="_x0000_i1036" alt="" style="width:453.15pt;height:.05pt;mso-width-percent:0;mso-height-percent:0;mso-width-percent:0;mso-height-percent:0" o:hrpct="999" o:hralign="center" o:hrstd="t" o:hr="t" fillcolor="#a0a0a0" stroked="f"/>
        </w:pict>
      </w:r>
    </w:p>
    <w:p w:rsidR="00953A52" w:rsidRPr="00953A52" w:rsidRDefault="00953A52" w:rsidP="00953A52">
      <w:pPr>
        <w:spacing w:before="100" w:beforeAutospacing="1" w:after="100" w:afterAutospacing="1"/>
        <w:outlineLvl w:val="2"/>
        <w:rPr>
          <w:rFonts w:ascii="Times New Roman" w:eastAsia="Times New Roman" w:hAnsi="Times New Roman" w:cs="Times New Roman"/>
          <w:b/>
          <w:bCs/>
          <w:kern w:val="0"/>
          <w:sz w:val="27"/>
          <w:szCs w:val="27"/>
          <w:lang w:eastAsia="nl-NL"/>
          <w14:ligatures w14:val="none"/>
        </w:rPr>
      </w:pPr>
      <w:r w:rsidRPr="00953A52">
        <w:rPr>
          <w:rFonts w:ascii="Apple Color Emoji" w:eastAsia="Times New Roman" w:hAnsi="Apple Color Emoji" w:cs="Apple Color Emoji"/>
          <w:b/>
          <w:bCs/>
          <w:kern w:val="0"/>
          <w:sz w:val="27"/>
          <w:szCs w:val="27"/>
          <w:lang w:eastAsia="nl-NL"/>
          <w14:ligatures w14:val="none"/>
        </w:rPr>
        <w:t>✅</w:t>
      </w:r>
      <w:r w:rsidRPr="00953A52">
        <w:rPr>
          <w:rFonts w:ascii="Times New Roman" w:eastAsia="Times New Roman" w:hAnsi="Times New Roman" w:cs="Times New Roman"/>
          <w:b/>
          <w:bCs/>
          <w:kern w:val="0"/>
          <w:sz w:val="27"/>
          <w:szCs w:val="27"/>
          <w:lang w:eastAsia="nl-NL"/>
          <w14:ligatures w14:val="none"/>
        </w:rPr>
        <w:t xml:space="preserve"> Belang van tijdige en juiste aangifte</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Het is essentieel om bij emigratie van een vennootschap tijdig en correct aangifte te doen. Een onjuiste of te late aangifte kan leiden tot:</w:t>
      </w:r>
    </w:p>
    <w:p w:rsidR="00953A52" w:rsidRPr="00953A52" w:rsidRDefault="00953A52" w:rsidP="00953A52">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b/>
          <w:bCs/>
          <w:kern w:val="0"/>
          <w:lang w:eastAsia="nl-NL"/>
          <w14:ligatures w14:val="none"/>
        </w:rPr>
        <w:t>Te hoge belastingheffing</w:t>
      </w:r>
      <w:r w:rsidRPr="00953A52">
        <w:rPr>
          <w:rFonts w:ascii="Times New Roman" w:eastAsia="Times New Roman" w:hAnsi="Times New Roman" w:cs="Times New Roman"/>
          <w:kern w:val="0"/>
          <w:lang w:eastAsia="nl-NL"/>
          <w14:ligatures w14:val="none"/>
        </w:rPr>
        <w:t>: Bij een te hoge waardering van de stille reserves en goodwill.</w:t>
      </w:r>
    </w:p>
    <w:p w:rsidR="00953A52" w:rsidRPr="00953A52" w:rsidRDefault="00953A52" w:rsidP="00953A52">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b/>
          <w:bCs/>
          <w:kern w:val="0"/>
          <w:lang w:eastAsia="nl-NL"/>
          <w14:ligatures w14:val="none"/>
        </w:rPr>
        <w:t>Boetes en rente</w:t>
      </w:r>
      <w:r w:rsidRPr="00953A52">
        <w:rPr>
          <w:rFonts w:ascii="Times New Roman" w:eastAsia="Times New Roman" w:hAnsi="Times New Roman" w:cs="Times New Roman"/>
          <w:kern w:val="0"/>
          <w:lang w:eastAsia="nl-NL"/>
          <w14:ligatures w14:val="none"/>
        </w:rPr>
        <w:t>: Bij het niet tijdig betalen van de conserverende aanslag.</w:t>
      </w:r>
    </w:p>
    <w:p w:rsidR="00953A52" w:rsidRPr="00953A52" w:rsidRDefault="00953A52" w:rsidP="00953A52">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b/>
          <w:bCs/>
          <w:kern w:val="0"/>
          <w:lang w:eastAsia="nl-NL"/>
          <w14:ligatures w14:val="none"/>
        </w:rPr>
        <w:t>Dubbele belasting</w:t>
      </w:r>
      <w:r w:rsidRPr="00953A52">
        <w:rPr>
          <w:rFonts w:ascii="Times New Roman" w:eastAsia="Times New Roman" w:hAnsi="Times New Roman" w:cs="Times New Roman"/>
          <w:kern w:val="0"/>
          <w:lang w:eastAsia="nl-NL"/>
          <w14:ligatures w14:val="none"/>
        </w:rPr>
        <w:t>: Bij het niet correct toepassen van belastingverdragen.</w:t>
      </w:r>
    </w:p>
    <w:p w:rsidR="00953A52" w:rsidRPr="00953A52" w:rsidRDefault="00953A52" w:rsidP="00953A52">
      <w:pPr>
        <w:spacing w:before="100" w:beforeAutospacing="1" w:after="100" w:afterAutospacing="1"/>
        <w:rPr>
          <w:rFonts w:ascii="Times New Roman" w:eastAsia="Times New Roman" w:hAnsi="Times New Roman" w:cs="Times New Roman"/>
          <w:kern w:val="0"/>
          <w:lang w:eastAsia="nl-NL"/>
          <w14:ligatures w14:val="none"/>
        </w:rPr>
      </w:pPr>
      <w:r w:rsidRPr="00953A52">
        <w:rPr>
          <w:rFonts w:ascii="Times New Roman" w:eastAsia="Times New Roman" w:hAnsi="Times New Roman" w:cs="Times New Roman"/>
          <w:kern w:val="0"/>
          <w:lang w:eastAsia="nl-NL"/>
          <w14:ligatures w14:val="none"/>
        </w:rPr>
        <w:t>Het is raadzaam om voorafgaand aan de emigratie een fiscaal adviseur te raadplegen om de fiscale gevolgen in kaart te brengen en de juiste stappen te ondernemen.</w:t>
      </w:r>
    </w:p>
    <w:p w:rsidR="00953A52" w:rsidRPr="00953A52" w:rsidRDefault="007704B3" w:rsidP="00953A52">
      <w:pPr>
        <w:rPr>
          <w:rFonts w:ascii="Times New Roman" w:eastAsia="Times New Roman" w:hAnsi="Times New Roman" w:cs="Times New Roman"/>
          <w:kern w:val="0"/>
          <w:lang w:eastAsia="nl-NL"/>
          <w14:ligatures w14:val="none"/>
        </w:rPr>
      </w:pPr>
      <w:r w:rsidRPr="007704B3">
        <w:rPr>
          <w:rFonts w:ascii="Times New Roman" w:eastAsia="Times New Roman" w:hAnsi="Times New Roman" w:cs="Times New Roman"/>
          <w:noProof/>
          <w:kern w:val="0"/>
          <w:lang w:eastAsia="nl-NL"/>
        </w:rPr>
        <w:pict>
          <v:rect id="_x0000_i1035" alt="" style="width:453.15pt;height:.05pt;mso-width-percent:0;mso-height-percent:0;mso-width-percent:0;mso-height-percent:0" o:hrpct="999" o:hralign="center" o:hrstd="t" o:hr="t" fillcolor="#a0a0a0" stroked="f"/>
        </w:pict>
      </w:r>
    </w:p>
    <w:p w:rsidR="00953A52" w:rsidRDefault="00953A52" w:rsidP="00953A52">
      <w:pPr>
        <w:pStyle w:val="Normaalweb"/>
      </w:pPr>
      <w:r>
        <w:t xml:space="preserve">Zeker — hieronder vind je een overzicht voor de </w:t>
      </w:r>
      <w:r>
        <w:rPr>
          <w:rStyle w:val="Zwaar"/>
        </w:rPr>
        <w:t>aangifte vennootschapsbelasting (Vpb)</w:t>
      </w:r>
      <w:r>
        <w:t xml:space="preserve"> bij verplaatsing/ emigratie van een vennootschap naar het buitenland. Eerst de kernregels en relevante wetsartikelen, daarna </w:t>
      </w:r>
      <w:r>
        <w:rPr>
          <w:rStyle w:val="Zwaar"/>
        </w:rPr>
        <w:t>uitgebreide samenvattingen</w:t>
      </w:r>
      <w:r>
        <w:t xml:space="preserve"> van de belangrijkste jurisprudentie (feiten — rechtsvraag — oordeel — betekenis voor de praktijk). Ik citeer de onderliggende bronnen telkens direct.</w:t>
      </w:r>
    </w:p>
    <w:p w:rsidR="00953A52" w:rsidRDefault="007704B3" w:rsidP="00953A52">
      <w:r>
        <w:rPr>
          <w:noProof/>
        </w:rPr>
        <w:pict>
          <v:rect id="_x0000_i1034" alt="" style="width:453.15pt;height:.05pt;mso-width-percent:0;mso-height-percent:0;mso-width-percent:0;mso-height-percent:0" o:hrpct="999" o:hralign="center" o:hrstd="t" o:hr="t" fillcolor="#a0a0a0" stroked="f"/>
        </w:pict>
      </w:r>
    </w:p>
    <w:p w:rsidR="00953A52" w:rsidRDefault="00953A52" w:rsidP="00953A52">
      <w:pPr>
        <w:pStyle w:val="Kop1"/>
      </w:pPr>
      <w:r>
        <w:t>Kern: wettelijk kader (belangrijkste bepalingen)</w:t>
      </w:r>
    </w:p>
    <w:p w:rsidR="00953A52" w:rsidRDefault="00953A52" w:rsidP="00953A52">
      <w:pPr>
        <w:pStyle w:val="Normaalweb"/>
        <w:numPr>
          <w:ilvl w:val="0"/>
          <w:numId w:val="2"/>
        </w:numPr>
      </w:pPr>
      <w:r>
        <w:rPr>
          <w:rStyle w:val="Zwaar"/>
        </w:rPr>
        <w:t>Vestigingsplaats en binnenlandse belastingplicht</w:t>
      </w:r>
      <w:r>
        <w:t xml:space="preserve"> — de Wet op de vennootschapsbelasting 1969 bepaalt wie binnenlands belastingplichtig is (o.a. vennootschappen die in Nederland zijn gevestigd). Zie artikel 2 e.v. Wet Vpb. (</w:t>
      </w:r>
      <w:hyperlink r:id="rId5" w:tooltip="Wet op de vennootschapsbelasting 1969 - BWBR0002672" w:history="1">
        <w:r>
          <w:rPr>
            <w:rStyle w:val="Hyperlink"/>
            <w:rFonts w:eastAsiaTheme="majorEastAsia"/>
          </w:rPr>
          <w:t>Wetten.overheid</w:t>
        </w:r>
      </w:hyperlink>
      <w:r>
        <w:t>)</w:t>
      </w:r>
    </w:p>
    <w:p w:rsidR="00953A52" w:rsidRDefault="00953A52" w:rsidP="00953A52">
      <w:pPr>
        <w:pStyle w:val="Normaalweb"/>
        <w:numPr>
          <w:ilvl w:val="0"/>
          <w:numId w:val="2"/>
        </w:numPr>
      </w:pPr>
      <w:r>
        <w:rPr>
          <w:rStyle w:val="Zwaar"/>
        </w:rPr>
        <w:t>Exit-/emigratie-afrekening (art. 15c Wet Vpb 1969)</w:t>
      </w:r>
      <w:r>
        <w:t xml:space="preserve"> — bij verplaatsing van de werkelijke leiding of zetel waardoor Nederland niet langer over bepaalde </w:t>
      </w:r>
      <w:r>
        <w:lastRenderedPageBreak/>
        <w:t>vermogensbestanddelen kan heffen, kan op grond van artikel 15c worden afgerekend over stille reserves, fiscale reserves en goodwill die niet langer in Nederland belastbaar zijn. Zie commentaar bij art.15c en literatuur. (</w:t>
      </w:r>
      <w:hyperlink r:id="rId6" w:tooltip="De exitheffing in de vennootschapsbelasting en het EU-recht" w:history="1">
        <w:r>
          <w:rPr>
            <w:rStyle w:val="Hyperlink"/>
            <w:rFonts w:eastAsiaTheme="majorEastAsia"/>
          </w:rPr>
          <w:t>Arno</w:t>
        </w:r>
      </w:hyperlink>
      <w:r>
        <w:t>)</w:t>
      </w:r>
    </w:p>
    <w:p w:rsidR="00953A52" w:rsidRDefault="00953A52" w:rsidP="00953A52">
      <w:pPr>
        <w:pStyle w:val="Normaalweb"/>
        <w:numPr>
          <w:ilvl w:val="0"/>
          <w:numId w:val="2"/>
        </w:numPr>
      </w:pPr>
      <w:r>
        <w:rPr>
          <w:rStyle w:val="Zwaar"/>
        </w:rPr>
        <w:t>Artikel 15d Wet Vpb</w:t>
      </w:r>
      <w:r>
        <w:t xml:space="preserve"> — vangnetbepaling voor eindafrekening in andere situaties (o.a. ophouden winst te genieten). (</w:t>
      </w:r>
      <w:hyperlink r:id="rId7" w:tooltip="De exitheffing in de vennootschapsbelasting en het EU-recht" w:history="1">
        <w:r>
          <w:rPr>
            <w:rStyle w:val="Hyperlink"/>
            <w:rFonts w:eastAsiaTheme="majorEastAsia"/>
          </w:rPr>
          <w:t>Arno</w:t>
        </w:r>
      </w:hyperlink>
      <w:r>
        <w:t>)</w:t>
      </w:r>
    </w:p>
    <w:p w:rsidR="00953A52" w:rsidRDefault="00953A52" w:rsidP="00953A52">
      <w:pPr>
        <w:pStyle w:val="Normaalweb"/>
        <w:numPr>
          <w:ilvl w:val="0"/>
          <w:numId w:val="2"/>
        </w:numPr>
      </w:pPr>
      <w:r>
        <w:rPr>
          <w:rStyle w:val="Zwaar"/>
        </w:rPr>
        <w:t>Invordering / uitstel / conserverende aanslag</w:t>
      </w:r>
      <w:r>
        <w:t xml:space="preserve"> — bij emigratie kunnen conserverende aanslagen en uitstel van invordering een rol spelen (regels in Invorderingswet en schaalsgewijze toepassing bij EU/ EER). Zie ook parlementaire stukken over de invorderingspraktijk en uitstel. (</w:t>
      </w:r>
      <w:hyperlink r:id="rId8" w:tooltip="Kamerstuk 35523, nr. 11" w:history="1">
        <w:r>
          <w:rPr>
            <w:rStyle w:val="Hyperlink"/>
            <w:rFonts w:eastAsiaTheme="majorEastAsia"/>
          </w:rPr>
          <w:t>Officiële Bekendmakingen</w:t>
        </w:r>
      </w:hyperlink>
      <w:r>
        <w:t>)</w:t>
      </w:r>
    </w:p>
    <w:p w:rsidR="00953A52" w:rsidRDefault="007704B3" w:rsidP="00953A52">
      <w:r>
        <w:rPr>
          <w:noProof/>
        </w:rPr>
        <w:pict>
          <v:rect id="_x0000_i1033" alt="" style="width:453.15pt;height:.05pt;mso-width-percent:0;mso-height-percent:0;mso-width-percent:0;mso-height-percent:0" o:hrpct="999" o:hralign="center" o:hrstd="t" o:hr="t" fillcolor="#a0a0a0" stroked="f"/>
        </w:pict>
      </w:r>
    </w:p>
    <w:p w:rsidR="00953A52" w:rsidRDefault="00953A52" w:rsidP="00953A52">
      <w:pPr>
        <w:pStyle w:val="Kop1"/>
      </w:pPr>
      <w:r>
        <w:t>Praktische gevolgen (kort)</w:t>
      </w:r>
    </w:p>
    <w:p w:rsidR="00953A52" w:rsidRDefault="00953A52" w:rsidP="00953A52">
      <w:pPr>
        <w:pStyle w:val="Normaalweb"/>
        <w:numPr>
          <w:ilvl w:val="0"/>
          <w:numId w:val="3"/>
        </w:numPr>
      </w:pPr>
      <w:r>
        <w:t xml:space="preserve">Bij zetel- of leidingplaatsverplaatsing kan de vennootschap </w:t>
      </w:r>
      <w:r>
        <w:rPr>
          <w:rStyle w:val="Zwaar"/>
        </w:rPr>
        <w:t>in Nederland eindafrekening (exitheffing)</w:t>
      </w:r>
      <w:r>
        <w:t xml:space="preserve"> krijgen over niet-gerealiseerde meerwaarden (stille reserves, goodwill). (</w:t>
      </w:r>
      <w:hyperlink r:id="rId9" w:tooltip="De exitheffing in de vennootschapsbelasting en het EU-recht" w:history="1">
        <w:r>
          <w:rPr>
            <w:rStyle w:val="Hyperlink"/>
            <w:rFonts w:eastAsiaTheme="majorEastAsia"/>
          </w:rPr>
          <w:t>Arno</w:t>
        </w:r>
      </w:hyperlink>
      <w:r>
        <w:t>)</w:t>
      </w:r>
    </w:p>
    <w:p w:rsidR="00953A52" w:rsidRDefault="00953A52" w:rsidP="00953A52">
      <w:pPr>
        <w:pStyle w:val="Normaalweb"/>
        <w:numPr>
          <w:ilvl w:val="0"/>
          <w:numId w:val="3"/>
        </w:numPr>
      </w:pPr>
      <w:r>
        <w:t xml:space="preserve">Nederland kan een </w:t>
      </w:r>
      <w:r>
        <w:rPr>
          <w:rStyle w:val="Zwaar"/>
        </w:rPr>
        <w:t>conserverende aanslag</w:t>
      </w:r>
      <w:r>
        <w:t xml:space="preserve"> opleggen; inning kan (gedeeltelijk) worden uitgesteld, afhankelijk van verdragsregels en EU-recht. (</w:t>
      </w:r>
      <w:hyperlink r:id="rId10" w:tooltip="Emigratie en conserverende aanslag - vrijheid en blijheid ..." w:history="1">
        <w:r>
          <w:rPr>
            <w:rStyle w:val="Hyperlink"/>
            <w:rFonts w:eastAsiaTheme="majorEastAsia"/>
          </w:rPr>
          <w:t>Jongbloed Fiscaal Juristen</w:t>
        </w:r>
      </w:hyperlink>
      <w:r>
        <w:t>)</w:t>
      </w:r>
    </w:p>
    <w:p w:rsidR="00953A52" w:rsidRDefault="00953A52" w:rsidP="00953A52">
      <w:pPr>
        <w:pStyle w:val="Normaalweb"/>
        <w:numPr>
          <w:ilvl w:val="0"/>
          <w:numId w:val="3"/>
        </w:numPr>
      </w:pPr>
      <w:r>
        <w:t xml:space="preserve">Controleer altijd of een </w:t>
      </w:r>
      <w:r>
        <w:rPr>
          <w:rStyle w:val="Zwaar"/>
        </w:rPr>
        <w:t>belastingverdrag</w:t>
      </w:r>
      <w:r>
        <w:t xml:space="preserve"> tussen Nederland en het land van vestiging beperkingen oplegt (wie heeft heffingsrecht). (</w:t>
      </w:r>
      <w:hyperlink r:id="rId11" w:tooltip="De exitheffing in de vennootschapsbelasting en het EU-recht" w:history="1">
        <w:r>
          <w:rPr>
            <w:rStyle w:val="Hyperlink"/>
            <w:rFonts w:eastAsiaTheme="majorEastAsia"/>
          </w:rPr>
          <w:t>Arno</w:t>
        </w:r>
      </w:hyperlink>
      <w:r>
        <w:t>)</w:t>
      </w:r>
    </w:p>
    <w:p w:rsidR="00953A52" w:rsidRDefault="007704B3" w:rsidP="00953A52">
      <w:r>
        <w:rPr>
          <w:noProof/>
        </w:rPr>
        <w:pict>
          <v:rect id="_x0000_i1032" alt="" style="width:453.15pt;height:.05pt;mso-width-percent:0;mso-height-percent:0;mso-width-percent:0;mso-height-percent:0" o:hrpct="999" o:hralign="center" o:hrstd="t" o:hr="t" fillcolor="#a0a0a0" stroked="f"/>
        </w:pict>
      </w:r>
    </w:p>
    <w:p w:rsidR="00953A52" w:rsidRDefault="00953A52" w:rsidP="00953A52">
      <w:pPr>
        <w:pStyle w:val="Kop1"/>
      </w:pPr>
      <w:r>
        <w:t>Uitgebreide samenvattingen jurisprudentie</w:t>
      </w:r>
    </w:p>
    <w:p w:rsidR="00953A52" w:rsidRDefault="00953A52" w:rsidP="00953A52">
      <w:pPr>
        <w:pStyle w:val="Normaalweb"/>
      </w:pPr>
      <w:r>
        <w:t>(iedere zaak: feiten → rechtsvraag → oordeel → praktische betekenis)</w:t>
      </w:r>
    </w:p>
    <w:p w:rsidR="00953A52" w:rsidRDefault="007704B3" w:rsidP="00953A52">
      <w:r>
        <w:rPr>
          <w:noProof/>
        </w:rPr>
        <w:pict>
          <v:rect id="_x0000_i1031" alt="" style="width:453.15pt;height:.05pt;mso-width-percent:0;mso-height-percent:0;mso-width-percent:0;mso-height-percent:0" o:hrpct="999" o:hralign="center" o:hrstd="t" o:hr="t" fillcolor="#a0a0a0" stroked="f"/>
        </w:pict>
      </w:r>
    </w:p>
    <w:p w:rsidR="00953A52" w:rsidRDefault="00953A52" w:rsidP="00953A52">
      <w:pPr>
        <w:pStyle w:val="Kop2"/>
      </w:pPr>
      <w:r>
        <w:t>1) Gerechtshof Den Haag, 19 oktober 2022 (zaak over zakelijke emigratie / behoud binnenlandse Vpb-plicht)</w:t>
      </w:r>
    </w:p>
    <w:p w:rsidR="00953A52" w:rsidRDefault="00953A52" w:rsidP="00953A52">
      <w:pPr>
        <w:pStyle w:val="Normaalweb"/>
      </w:pPr>
      <w:r>
        <w:rPr>
          <w:rStyle w:val="Zwaar"/>
        </w:rPr>
        <w:t>Bron:</w:t>
      </w:r>
      <w:r>
        <w:t xml:space="preserve"> samenvatting &amp; uitspraakoverzicht. (</w:t>
      </w:r>
      <w:hyperlink r:id="rId12" w:tooltip="ECLI:NL:PHR:2022:169 Volledige tekst uitspraak" w:history="1">
        <w:r>
          <w:rPr>
            <w:rStyle w:val="Hyperlink"/>
            <w:rFonts w:eastAsiaTheme="majorEastAsia"/>
          </w:rPr>
          <w:t>Recht.nl</w:t>
        </w:r>
      </w:hyperlink>
      <w:r>
        <w:t>)</w:t>
      </w:r>
    </w:p>
    <w:p w:rsidR="00953A52" w:rsidRDefault="00953A52" w:rsidP="00953A52">
      <w:pPr>
        <w:pStyle w:val="Normaalweb"/>
      </w:pPr>
      <w:r>
        <w:rPr>
          <w:rStyle w:val="Zwaar"/>
        </w:rPr>
        <w:t>Feiten</w:t>
      </w:r>
      <w:r>
        <w:br/>
        <w:t>Een vennootschap (of groep) verplaatste de feitelijke leiding naar het buitenland. De Belastingdienst vorderde Vpb-heffing en stelde dat de vennootschap ophield binnenlands belastingplichtig te zijn voor bepaalde winstbestanddelen.</w:t>
      </w:r>
    </w:p>
    <w:p w:rsidR="00953A52" w:rsidRDefault="00953A52" w:rsidP="00953A52">
      <w:pPr>
        <w:pStyle w:val="Normaalweb"/>
      </w:pPr>
      <w:r>
        <w:rPr>
          <w:rStyle w:val="Zwaar"/>
        </w:rPr>
        <w:t>Rechtsvraag</w:t>
      </w:r>
      <w:r>
        <w:br/>
        <w:t>Wanneer eindigt de Nederlandse binnenlandse belastingplicht van een in Nederland opgerichte vennootschap en leidt die beëindiging tot toepassing van de emigratie-/exitregels (art.15c e.v.)?</w:t>
      </w:r>
    </w:p>
    <w:p w:rsidR="00953A52" w:rsidRDefault="00953A52" w:rsidP="00953A52">
      <w:pPr>
        <w:pStyle w:val="Normaalweb"/>
      </w:pPr>
      <w:r>
        <w:rPr>
          <w:rStyle w:val="Zwaar"/>
        </w:rPr>
        <w:t>Oordeel</w:t>
      </w:r>
      <w:r>
        <w:br/>
        <w:t xml:space="preserve">Het Gerechtshof oordeelde dat onder de gegeven feiten de verplaatsing van de feitelijke leiding kon leiden tot beëindiging van de binnenlandse belastingplicht en dat de (eventuele) eindafrekening/rechtspraak omtrent toepassing van art.15c moet worden beoordeeld aan de </w:t>
      </w:r>
      <w:r>
        <w:lastRenderedPageBreak/>
        <w:t>hand van feitelijke omstandigheden. De uitspraak benadrukt toetsing van vestigingsplaats, werkelijke leiding en feitelijke omstandigheden. (</w:t>
      </w:r>
      <w:hyperlink r:id="rId13" w:tooltip="ECLI:NL:PHR:2022:169 Volledige tekst uitspraak" w:history="1">
        <w:r>
          <w:rPr>
            <w:rStyle w:val="Hyperlink"/>
            <w:rFonts w:eastAsiaTheme="majorEastAsia"/>
          </w:rPr>
          <w:t>Recht.nl</w:t>
        </w:r>
      </w:hyperlink>
      <w:r>
        <w:t>)</w:t>
      </w:r>
    </w:p>
    <w:p w:rsidR="00953A52" w:rsidRDefault="00953A52" w:rsidP="00953A52">
      <w:pPr>
        <w:pStyle w:val="Normaalweb"/>
      </w:pPr>
      <w:r>
        <w:rPr>
          <w:rStyle w:val="Zwaar"/>
        </w:rPr>
        <w:t>Betekenis</w:t>
      </w:r>
    </w:p>
    <w:p w:rsidR="00953A52" w:rsidRDefault="00953A52" w:rsidP="00953A52">
      <w:pPr>
        <w:pStyle w:val="Normaalweb"/>
        <w:numPr>
          <w:ilvl w:val="0"/>
          <w:numId w:val="4"/>
        </w:numPr>
      </w:pPr>
      <w:r>
        <w:t>De beslissing bevestigt dat de feitelijke verplaatsing van leiding/zetel doorslaggevend kan zijn voor toepassing van de exitregels.</w:t>
      </w:r>
    </w:p>
    <w:p w:rsidR="00953A52" w:rsidRDefault="00953A52" w:rsidP="00953A52">
      <w:pPr>
        <w:pStyle w:val="Normaalweb"/>
        <w:numPr>
          <w:ilvl w:val="0"/>
          <w:numId w:val="4"/>
        </w:numPr>
      </w:pPr>
      <w:r>
        <w:t>Belangrijke les: documenteer bestuursvergaderingen, beslissingen en feitelijke locatie van leidinggevenden — de feiten beslissen of 15c toepassing vindt. (</w:t>
      </w:r>
      <w:hyperlink r:id="rId14" w:tooltip="ECLI:NL:PHR:2022:169 Volledige tekst uitspraak" w:history="1">
        <w:r>
          <w:rPr>
            <w:rStyle w:val="Hyperlink"/>
            <w:rFonts w:eastAsiaTheme="majorEastAsia"/>
          </w:rPr>
          <w:t>Recht.nl</w:t>
        </w:r>
      </w:hyperlink>
      <w:r>
        <w:t>)</w:t>
      </w:r>
    </w:p>
    <w:p w:rsidR="00953A52" w:rsidRDefault="007704B3" w:rsidP="00953A52">
      <w:r>
        <w:rPr>
          <w:noProof/>
        </w:rPr>
        <w:pict>
          <v:rect id="_x0000_i1030" alt="" style="width:453.15pt;height:.05pt;mso-width-percent:0;mso-height-percent:0;mso-width-percent:0;mso-height-percent:0" o:hrpct="999" o:hralign="center" o:hrstd="t" o:hr="t" fillcolor="#a0a0a0" stroked="f"/>
        </w:pict>
      </w:r>
    </w:p>
    <w:p w:rsidR="00953A52" w:rsidRDefault="00953A52" w:rsidP="00953A52">
      <w:pPr>
        <w:pStyle w:val="Kop2"/>
      </w:pPr>
      <w:r>
        <w:t>2) Hof Amsterdam / Hoge Raad-voorafgaand: prejudiciële vragen over exitheffing (zaak 2010 → verwijzing naar EU-recht)</w:t>
      </w:r>
    </w:p>
    <w:p w:rsidR="00953A52" w:rsidRDefault="00953A52" w:rsidP="00953A52">
      <w:pPr>
        <w:pStyle w:val="Normaalweb"/>
      </w:pPr>
      <w:r>
        <w:rPr>
          <w:rStyle w:val="Zwaar"/>
        </w:rPr>
        <w:t>Bron:</w:t>
      </w:r>
      <w:r>
        <w:t xml:space="preserve"> hofuitspraken &amp; verwijzing naar prejudiciële vraag (ECLI:NL:GHAMS:2010:BN1231) en literatuur over prejudiciële vragen. (</w:t>
      </w:r>
      <w:hyperlink r:id="rId15" w:tooltip="ecli:nl:ghams:2010:bn1231 - Uitspraken - De Rechtspraak" w:history="1">
        <w:r>
          <w:rPr>
            <w:rStyle w:val="Hyperlink"/>
            <w:rFonts w:eastAsiaTheme="majorEastAsia"/>
          </w:rPr>
          <w:t>Rechtspraak</w:t>
        </w:r>
      </w:hyperlink>
      <w:r>
        <w:t>)</w:t>
      </w:r>
    </w:p>
    <w:p w:rsidR="00953A52" w:rsidRDefault="00953A52" w:rsidP="00953A52">
      <w:pPr>
        <w:pStyle w:val="Normaalweb"/>
      </w:pPr>
      <w:r>
        <w:rPr>
          <w:rStyle w:val="Zwaar"/>
        </w:rPr>
        <w:t>Feiten</w:t>
      </w:r>
      <w:r>
        <w:br/>
        <w:t>Nederlandse procedure over exitheffing; hof stelde prejudiciële vragen aan het Hof van Justitie EU over de verenigbaarheid van de Nederlandse exitheffing met het EU-recht (vrijheid van vestiging etc.).</w:t>
      </w:r>
    </w:p>
    <w:p w:rsidR="00953A52" w:rsidRDefault="00953A52" w:rsidP="00953A52">
      <w:pPr>
        <w:pStyle w:val="Normaalweb"/>
      </w:pPr>
      <w:r>
        <w:rPr>
          <w:rStyle w:val="Zwaar"/>
        </w:rPr>
        <w:t>Rechtsvraag</w:t>
      </w:r>
      <w:r>
        <w:br/>
        <w:t>Is de Nederlandse exitheffing (afrekening bij zetel-/leidingplaatsverplaatsing) verenigbaar met EU-recht (vrijheid van vestiging), en zo ja onder welke omstandigheden (proportionaliteit, doelmatigheid, misbruikbeperking)?</w:t>
      </w:r>
    </w:p>
    <w:p w:rsidR="00953A52" w:rsidRDefault="00953A52" w:rsidP="00953A52">
      <w:pPr>
        <w:pStyle w:val="Normaalweb"/>
      </w:pPr>
      <w:r>
        <w:rPr>
          <w:rStyle w:val="Zwaar"/>
        </w:rPr>
        <w:t>Oordeel (proces richting EU)</w:t>
      </w:r>
      <w:r>
        <w:br/>
        <w:t>Het hof vroeg het EU-hof zich uit te spreken; (algemene lijn uit Europese rechtspraak): exitheffingen kunnen een beperking vormen van de vrijheid van vestiging maar zijn niet per se onrechtmatig — toetsing vindt plaats op proportionaliteit, redelijkheid, en of maatregelen misbruik tegengaan of verdeling van heffingsbevoegdheid beschermen. Nederlandse en Europese uitspraken vereisen vaak dat bij toepassing compensatie of uitstel geregeld is om onverenigbaarheid te voorkomen. (</w:t>
      </w:r>
      <w:hyperlink r:id="rId16" w:tooltip="ecli:nl:ghams:2010:bn1231 - Uitspraken - De Rechtspraak" w:history="1">
        <w:r>
          <w:rPr>
            <w:rStyle w:val="Hyperlink"/>
            <w:rFonts w:eastAsiaTheme="majorEastAsia"/>
          </w:rPr>
          <w:t>Rechtspraak</w:t>
        </w:r>
      </w:hyperlink>
      <w:r>
        <w:t>)</w:t>
      </w:r>
    </w:p>
    <w:p w:rsidR="00953A52" w:rsidRDefault="00953A52" w:rsidP="00953A52">
      <w:pPr>
        <w:pStyle w:val="Normaalweb"/>
      </w:pPr>
      <w:r>
        <w:rPr>
          <w:rStyle w:val="Zwaar"/>
        </w:rPr>
        <w:t>Betekenis</w:t>
      </w:r>
    </w:p>
    <w:p w:rsidR="00953A52" w:rsidRDefault="00953A52" w:rsidP="00953A52">
      <w:pPr>
        <w:pStyle w:val="Normaalweb"/>
        <w:numPr>
          <w:ilvl w:val="0"/>
          <w:numId w:val="5"/>
        </w:numPr>
      </w:pPr>
      <w:r>
        <w:t>EU-recht beperkt niet automatisch exitheffingen, maar stelt voorwaarden (proportionaliteit, passende safeguards zoals uitstel).</w:t>
      </w:r>
    </w:p>
    <w:p w:rsidR="00953A52" w:rsidRDefault="00953A52" w:rsidP="00953A52">
      <w:pPr>
        <w:pStyle w:val="Normaalweb"/>
        <w:numPr>
          <w:ilvl w:val="0"/>
          <w:numId w:val="5"/>
        </w:numPr>
      </w:pPr>
      <w:r>
        <w:t>Praktisch: bij grensoverschrijdende zetelverplaatsingen spelen EU-rechtelijke toetsingen en comparatieve argumenten een grote rol. (</w:t>
      </w:r>
      <w:hyperlink r:id="rId17" w:tooltip="ecli:nl:ghams:2010:bn1231 - Uitspraken - De Rechtspraak" w:history="1">
        <w:r>
          <w:rPr>
            <w:rStyle w:val="Hyperlink"/>
            <w:rFonts w:eastAsiaTheme="majorEastAsia"/>
          </w:rPr>
          <w:t>Rechtspraak</w:t>
        </w:r>
      </w:hyperlink>
      <w:r>
        <w:t>)</w:t>
      </w:r>
    </w:p>
    <w:p w:rsidR="00953A52" w:rsidRDefault="007704B3" w:rsidP="00953A52">
      <w:r>
        <w:rPr>
          <w:noProof/>
        </w:rPr>
        <w:pict>
          <v:rect id="_x0000_i1029" alt="" style="width:453.15pt;height:.05pt;mso-width-percent:0;mso-height-percent:0;mso-width-percent:0;mso-height-percent:0" o:hrpct="999" o:hralign="center" o:hrstd="t" o:hr="t" fillcolor="#a0a0a0" stroked="f"/>
        </w:pict>
      </w:r>
    </w:p>
    <w:p w:rsidR="00953A52" w:rsidRDefault="00953A52" w:rsidP="00953A52">
      <w:pPr>
        <w:pStyle w:val="Kop2"/>
      </w:pPr>
      <w:r>
        <w:t>3) Rechtspraak rondom conserverende aanslagen en aanmerkelijk belang (meerdere beslissingen 2013–2025)</w:t>
      </w:r>
    </w:p>
    <w:p w:rsidR="00953A52" w:rsidRDefault="00953A52" w:rsidP="00953A52">
      <w:pPr>
        <w:pStyle w:val="Normaalweb"/>
      </w:pPr>
      <w:r>
        <w:rPr>
          <w:rStyle w:val="Zwaar"/>
        </w:rPr>
        <w:t>Bronnen:</w:t>
      </w:r>
      <w:r>
        <w:t xml:space="preserve"> artikelen en uitspraken (o.a. beschikking PHR 2013, latere uitspraken en berichtgeving over vermindering of geen conserverende aanslag in bepaalde omstandigheden). (</w:t>
      </w:r>
      <w:hyperlink r:id="rId18" w:tooltip="ECLI:NL:PHR:2013:CA2292 - Uitspraken - De Rechtspraak" w:history="1">
        <w:r>
          <w:rPr>
            <w:rStyle w:val="Hyperlink"/>
            <w:rFonts w:eastAsiaTheme="majorEastAsia"/>
          </w:rPr>
          <w:t>Rechtspraak</w:t>
        </w:r>
      </w:hyperlink>
      <w:r>
        <w:t>)</w:t>
      </w:r>
    </w:p>
    <w:p w:rsidR="00953A52" w:rsidRDefault="00953A52" w:rsidP="00953A52">
      <w:pPr>
        <w:pStyle w:val="Normaalweb"/>
      </w:pPr>
      <w:r>
        <w:rPr>
          <w:rStyle w:val="Zwaar"/>
        </w:rPr>
        <w:lastRenderedPageBreak/>
        <w:t>Feiten (typisch profielzaken)</w:t>
      </w:r>
      <w:r>
        <w:br/>
        <w:t>DGA of aandeelhouder emigreert en Belastingdienst legt een conserverende aanslag op (fictieve vervreemding—box 2) of vordert eindafrekening jegens vennootschap (Vpb).</w:t>
      </w:r>
    </w:p>
    <w:p w:rsidR="00953A52" w:rsidRDefault="00953A52" w:rsidP="00953A52">
      <w:pPr>
        <w:pStyle w:val="Normaalweb"/>
      </w:pPr>
      <w:r>
        <w:rPr>
          <w:rStyle w:val="Zwaar"/>
        </w:rPr>
        <w:t>Rechtsvragen</w:t>
      </w:r>
    </w:p>
    <w:p w:rsidR="00953A52" w:rsidRDefault="00953A52" w:rsidP="00953A52">
      <w:pPr>
        <w:pStyle w:val="Normaalweb"/>
        <w:numPr>
          <w:ilvl w:val="0"/>
          <w:numId w:val="6"/>
        </w:numPr>
      </w:pPr>
      <w:r>
        <w:t>Is de conserverende aanslag terecht bij (gedeeltelijk) buitenlands belastingplichtige?</w:t>
      </w:r>
    </w:p>
    <w:p w:rsidR="00953A52" w:rsidRDefault="00953A52" w:rsidP="00953A52">
      <w:pPr>
        <w:pStyle w:val="Normaalweb"/>
        <w:numPr>
          <w:ilvl w:val="0"/>
          <w:numId w:val="6"/>
        </w:numPr>
      </w:pPr>
      <w:r>
        <w:t>Hoe verhoudt de conserverende aanslag zich tot verdragsrecht en EU-recht?</w:t>
      </w:r>
    </w:p>
    <w:p w:rsidR="00953A52" w:rsidRDefault="00953A52" w:rsidP="00953A52">
      <w:pPr>
        <w:pStyle w:val="Normaalweb"/>
        <w:numPr>
          <w:ilvl w:val="0"/>
          <w:numId w:val="6"/>
        </w:numPr>
      </w:pPr>
      <w:r>
        <w:t>Wanneer mag de Belastingdienst uitstel intrekken en invorderen (bijvoorbeeld bij uitkering dividend)?</w:t>
      </w:r>
    </w:p>
    <w:p w:rsidR="00953A52" w:rsidRDefault="00953A52" w:rsidP="00953A52">
      <w:pPr>
        <w:pStyle w:val="Normaalweb"/>
      </w:pPr>
      <w:r>
        <w:rPr>
          <w:rStyle w:val="Zwaar"/>
        </w:rPr>
        <w:t>Oordelen (verzamelbeeld)</w:t>
      </w:r>
    </w:p>
    <w:p w:rsidR="00953A52" w:rsidRDefault="00953A52" w:rsidP="00953A52">
      <w:pPr>
        <w:pStyle w:val="Normaalweb"/>
        <w:numPr>
          <w:ilvl w:val="0"/>
          <w:numId w:val="7"/>
        </w:numPr>
      </w:pPr>
      <w:r>
        <w:t>Rechters toetsen feitelijke omstandigheden en verdragsregels; in sommige gevallen zijn conserverende aanslagen verminderd of niet (bijvoorbeeld als toepassing onverenigbaar is met status van belastingplichtige als buitenlands belastingplichtige). In andere zaken is behoud van conserverende aanslagen bevestigd, met mogelijkheid tot uitstel maar intrekking bij bepaalde handelingen (bijv. dividenduitkering). Zie voorbeelden van arresten en lagere rechtspraak waar aanslagen werden verminderd of invordering (gedeeltelijk) plaatsvond. (</w:t>
      </w:r>
      <w:hyperlink r:id="rId19" w:tooltip="ECLI:NL:RBZWB:2025:999 Volledige tekst uitspraak" w:history="1">
        <w:r>
          <w:rPr>
            <w:rStyle w:val="Hyperlink"/>
            <w:rFonts w:eastAsiaTheme="majorEastAsia"/>
          </w:rPr>
          <w:t>Recht.nl</w:t>
        </w:r>
      </w:hyperlink>
      <w:r>
        <w:t>)</w:t>
      </w:r>
    </w:p>
    <w:p w:rsidR="00953A52" w:rsidRDefault="00953A52" w:rsidP="00953A52">
      <w:pPr>
        <w:pStyle w:val="Normaalweb"/>
      </w:pPr>
      <w:r>
        <w:rPr>
          <w:rStyle w:val="Zwaar"/>
        </w:rPr>
        <w:t>Betekenis</w:t>
      </w:r>
    </w:p>
    <w:p w:rsidR="00953A52" w:rsidRDefault="00953A52" w:rsidP="00953A52">
      <w:pPr>
        <w:pStyle w:val="Normaalweb"/>
        <w:numPr>
          <w:ilvl w:val="0"/>
          <w:numId w:val="8"/>
        </w:numPr>
      </w:pPr>
      <w:r>
        <w:t>Conserverende aanslagen blijven een belangrijk instrument, maar hun instandhouding hangt af van verdragsrecht, EU-toetsing en feitelijke belastingplichtstatus.</w:t>
      </w:r>
    </w:p>
    <w:p w:rsidR="00953A52" w:rsidRDefault="00953A52" w:rsidP="00953A52">
      <w:pPr>
        <w:pStyle w:val="Normaalweb"/>
        <w:numPr>
          <w:ilvl w:val="0"/>
          <w:numId w:val="8"/>
        </w:numPr>
      </w:pPr>
      <w:r>
        <w:t>Praktisch: houd rekening met (a) mogelijke intrekking van uitstel bij concrete handelingen (dividend, verkoop), (b) noodzaak tot documentatie en verdragstoetsing. (</w:t>
      </w:r>
      <w:hyperlink r:id="rId20" w:tooltip="KG:207:2025:1 Intrekken uitstel conserverende aanslag in ..." w:history="1">
        <w:r>
          <w:rPr>
            <w:rStyle w:val="Hyperlink"/>
            <w:rFonts w:eastAsiaTheme="majorEastAsia"/>
          </w:rPr>
          <w:t>kennisgroepen.belastingdienst.nl</w:t>
        </w:r>
      </w:hyperlink>
      <w:r>
        <w:t>)</w:t>
      </w:r>
    </w:p>
    <w:p w:rsidR="00953A52" w:rsidRDefault="007704B3" w:rsidP="00953A52">
      <w:r>
        <w:rPr>
          <w:noProof/>
        </w:rPr>
        <w:pict>
          <v:rect id="_x0000_i1028" alt="" style="width:453.15pt;height:.05pt;mso-width-percent:0;mso-height-percent:0;mso-width-percent:0;mso-height-percent:0" o:hrpct="999" o:hralign="center" o:hrstd="t" o:hr="t" fillcolor="#a0a0a0" stroked="f"/>
        </w:pict>
      </w:r>
    </w:p>
    <w:p w:rsidR="00953A52" w:rsidRDefault="00953A52" w:rsidP="00953A52">
      <w:pPr>
        <w:pStyle w:val="Kop2"/>
      </w:pPr>
      <w:r>
        <w:t>4) Diverse recente beslissingen en literatuur (2022–2025): aanscherping en beleidscontext</w:t>
      </w:r>
    </w:p>
    <w:p w:rsidR="00953A52" w:rsidRDefault="00953A52" w:rsidP="00953A52">
      <w:pPr>
        <w:pStyle w:val="Normaalweb"/>
      </w:pPr>
      <w:r>
        <w:rPr>
          <w:rStyle w:val="Zwaar"/>
        </w:rPr>
        <w:t>Bronnen:</w:t>
      </w:r>
      <w:r>
        <w:t xml:space="preserve"> artikelen en analyses; Kamerstukken; recente rechterlijke uitspraken en commentaren (o.a. discussies over proportionaliteit en uitvoerbaarheid exitheffing). (</w:t>
      </w:r>
      <w:hyperlink r:id="rId21" w:tooltip="Kamerstuk 35523, nr. 11" w:history="1">
        <w:r>
          <w:rPr>
            <w:rStyle w:val="Hyperlink"/>
            <w:rFonts w:eastAsiaTheme="majorEastAsia"/>
          </w:rPr>
          <w:t>Officiële Bekendmakingen</w:t>
        </w:r>
      </w:hyperlink>
      <w:r>
        <w:t>)</w:t>
      </w:r>
    </w:p>
    <w:p w:rsidR="00953A52" w:rsidRDefault="00953A52" w:rsidP="00953A52">
      <w:pPr>
        <w:pStyle w:val="Normaalweb"/>
      </w:pPr>
      <w:r>
        <w:rPr>
          <w:rStyle w:val="Zwaar"/>
        </w:rPr>
        <w:t>Kernpunten uit deze bronnen</w:t>
      </w:r>
    </w:p>
    <w:p w:rsidR="00953A52" w:rsidRDefault="00953A52" w:rsidP="00953A52">
      <w:pPr>
        <w:pStyle w:val="Normaalweb"/>
        <w:numPr>
          <w:ilvl w:val="0"/>
          <w:numId w:val="9"/>
        </w:numPr>
      </w:pPr>
      <w:r>
        <w:t>De wetgeving en praktijk rondom exitheffingen worden intensief aan EU-recht en verdragsrecht getoetst; beleidsreacties en Kamerstukken tonen aandacht voor balans tussen heffingsbevoegdheid en vestigingsvrijheid. (</w:t>
      </w:r>
      <w:hyperlink r:id="rId22" w:tooltip="Kamerstuk 35523, nr. 11" w:history="1">
        <w:r>
          <w:rPr>
            <w:rStyle w:val="Hyperlink"/>
            <w:rFonts w:eastAsiaTheme="majorEastAsia"/>
          </w:rPr>
          <w:t>Officiële Bekendmakingen</w:t>
        </w:r>
      </w:hyperlink>
      <w:r>
        <w:t>)</w:t>
      </w:r>
    </w:p>
    <w:p w:rsidR="00953A52" w:rsidRDefault="00953A52" w:rsidP="00953A52">
      <w:pPr>
        <w:pStyle w:val="Normaalweb"/>
        <w:numPr>
          <w:ilvl w:val="0"/>
          <w:numId w:val="9"/>
        </w:numPr>
      </w:pPr>
      <w:r>
        <w:t xml:space="preserve">Literatuur en rechtspraktijk benadrukken dat </w:t>
      </w:r>
      <w:r>
        <w:rPr>
          <w:rStyle w:val="Zwaar"/>
        </w:rPr>
        <w:t>art. 15c Wet Vpb</w:t>
      </w:r>
      <w:r>
        <w:t xml:space="preserve"> de kernbepaling is voor eindafrekening bij zetel- of werkelijke leidingverplaatsing, en dat invorderings- en uitstelregels (en verdragsclausules) cruciaal zijn voor praktische uitvoering. (</w:t>
      </w:r>
      <w:hyperlink r:id="rId23" w:tooltip="De exitheffing in de vennootschapsbelasting en het EU-recht" w:history="1">
        <w:r>
          <w:rPr>
            <w:rStyle w:val="Hyperlink"/>
            <w:rFonts w:eastAsiaTheme="majorEastAsia"/>
          </w:rPr>
          <w:t>Arno</w:t>
        </w:r>
      </w:hyperlink>
      <w:r>
        <w:t>)</w:t>
      </w:r>
    </w:p>
    <w:p w:rsidR="00953A52" w:rsidRDefault="007704B3" w:rsidP="00953A52">
      <w:r>
        <w:rPr>
          <w:noProof/>
        </w:rPr>
        <w:pict>
          <v:rect id="_x0000_i1027" alt="" style="width:453.15pt;height:.05pt;mso-width-percent:0;mso-height-percent:0;mso-width-percent:0;mso-height-percent:0" o:hrpct="999" o:hralign="center" o:hrstd="t" o:hr="t" fillcolor="#a0a0a0" stroked="f"/>
        </w:pict>
      </w:r>
    </w:p>
    <w:p w:rsidR="00953A52" w:rsidRDefault="00953A52" w:rsidP="00953A52">
      <w:pPr>
        <w:pStyle w:val="Kop1"/>
      </w:pPr>
      <w:r>
        <w:lastRenderedPageBreak/>
        <w:t>Conclusies voor training van het AI-model (samenvatting van learnings)</w:t>
      </w:r>
    </w:p>
    <w:p w:rsidR="00953A52" w:rsidRDefault="00953A52" w:rsidP="00953A52">
      <w:pPr>
        <w:pStyle w:val="Normaalweb"/>
        <w:numPr>
          <w:ilvl w:val="0"/>
          <w:numId w:val="10"/>
        </w:numPr>
      </w:pPr>
      <w:r>
        <w:rPr>
          <w:rStyle w:val="Zwaar"/>
        </w:rPr>
        <w:t>Belangrijkste wetsteksten</w:t>
      </w:r>
      <w:r>
        <w:t>: art. 2 (vestigingsplaats / binnenlandse belastingplicht), art. 15c (exit-afrekening) en art. 15d (eindafrekening) Wet Vpb 1969; invorderingsregels en verdragsbepalingen zijn aanvullend essentieel. (</w:t>
      </w:r>
      <w:hyperlink r:id="rId24" w:tooltip="Wet op de vennootschapsbelasting 1969 - BWBR0002672" w:history="1">
        <w:r>
          <w:rPr>
            <w:rStyle w:val="Hyperlink"/>
            <w:rFonts w:eastAsiaTheme="majorEastAsia"/>
          </w:rPr>
          <w:t>Wetten.overheid</w:t>
        </w:r>
      </w:hyperlink>
      <w:r>
        <w:t>)</w:t>
      </w:r>
    </w:p>
    <w:p w:rsidR="00953A52" w:rsidRDefault="00953A52" w:rsidP="00953A52">
      <w:pPr>
        <w:pStyle w:val="Normaalweb"/>
        <w:numPr>
          <w:ilvl w:val="0"/>
          <w:numId w:val="10"/>
        </w:numPr>
      </w:pPr>
      <w:r>
        <w:rPr>
          <w:rStyle w:val="Zwaar"/>
        </w:rPr>
        <w:t>Feitelijke beoordeling</w:t>
      </w:r>
      <w:r>
        <w:t>: rechters toetsen primair aan feiten (werkelijke leiding, feitelijke zetel) — documentatie van bestuursactiviteiten en feitelijke omstandigheden is doorslaggevend. (</w:t>
      </w:r>
      <w:hyperlink r:id="rId25" w:tooltip="ECLI:NL:PHR:2022:169 Volledige tekst uitspraak" w:history="1">
        <w:r>
          <w:rPr>
            <w:rStyle w:val="Hyperlink"/>
            <w:rFonts w:eastAsiaTheme="majorEastAsia"/>
          </w:rPr>
          <w:t>Recht.nl</w:t>
        </w:r>
      </w:hyperlink>
      <w:r>
        <w:t>)</w:t>
      </w:r>
    </w:p>
    <w:p w:rsidR="00953A52" w:rsidRDefault="00953A52" w:rsidP="00953A52">
      <w:pPr>
        <w:pStyle w:val="Normaalweb"/>
        <w:numPr>
          <w:ilvl w:val="0"/>
          <w:numId w:val="10"/>
        </w:numPr>
      </w:pPr>
      <w:r>
        <w:rPr>
          <w:rStyle w:val="Zwaar"/>
        </w:rPr>
        <w:t>EU-recht en proportionaliteit</w:t>
      </w:r>
      <w:r>
        <w:t>: exitheffingen worden getoetst aan vrijheid van vestiging; heffing is niet per definitie verboden, maar moet proportioneel en goed gemotiveerd zijn en rekening houden met uitstel/compensatie. (</w:t>
      </w:r>
      <w:hyperlink r:id="rId26" w:tooltip="ecli:nl:ghams:2010:bn1231 - Uitspraken - De Rechtspraak" w:history="1">
        <w:r>
          <w:rPr>
            <w:rStyle w:val="Hyperlink"/>
            <w:rFonts w:eastAsiaTheme="majorEastAsia"/>
          </w:rPr>
          <w:t>Rechtspraak</w:t>
        </w:r>
      </w:hyperlink>
      <w:r>
        <w:t>)</w:t>
      </w:r>
    </w:p>
    <w:p w:rsidR="00953A52" w:rsidRDefault="00953A52" w:rsidP="00953A52">
      <w:pPr>
        <w:pStyle w:val="Normaalweb"/>
        <w:numPr>
          <w:ilvl w:val="0"/>
          <w:numId w:val="10"/>
        </w:numPr>
      </w:pPr>
      <w:r>
        <w:rPr>
          <w:rStyle w:val="Zwaar"/>
        </w:rPr>
        <w:t>Conserverende aanslagen</w:t>
      </w:r>
      <w:r>
        <w:t>: blijven key instrument, maar toepassing verschilt per situatie; houd rekening met intrekking van uitstel bij concrete handelingen. (</w:t>
      </w:r>
      <w:hyperlink r:id="rId27" w:tooltip="KG:207:2025:1 Intrekken uitstel conserverende aanslag in ..." w:history="1">
        <w:r>
          <w:rPr>
            <w:rStyle w:val="Hyperlink"/>
            <w:rFonts w:eastAsiaTheme="majorEastAsia"/>
          </w:rPr>
          <w:t>kennisgroepen.belastingdienst.nl</w:t>
        </w:r>
      </w:hyperlink>
      <w:r>
        <w:t>)</w:t>
      </w:r>
    </w:p>
    <w:p w:rsidR="00953A52" w:rsidRDefault="007704B3" w:rsidP="00953A52">
      <w:r>
        <w:rPr>
          <w:noProof/>
        </w:rPr>
        <w:pict>
          <v:rect id="_x0000_i1026" alt="" style="width:453.15pt;height:.05pt;mso-width-percent:0;mso-height-percent:0;mso-width-percent:0;mso-height-percent:0" o:hrpct="999" o:hralign="center" o:hrstd="t" o:hr="t" fillcolor="#a0a0a0" stroked="f"/>
        </w:pict>
      </w:r>
    </w:p>
    <w:p w:rsidR="00953A52" w:rsidRDefault="00953A52" w:rsidP="00953A52">
      <w:pPr>
        <w:pStyle w:val="Kop1"/>
      </w:pPr>
      <w:r>
        <w:t>Bronnen (voor verdere verdieping / training materiaal)</w:t>
      </w:r>
    </w:p>
    <w:p w:rsidR="00953A52" w:rsidRDefault="00953A52" w:rsidP="00953A52">
      <w:pPr>
        <w:pStyle w:val="Normaalweb"/>
        <w:numPr>
          <w:ilvl w:val="0"/>
          <w:numId w:val="11"/>
        </w:numPr>
      </w:pPr>
      <w:r>
        <w:t xml:space="preserve">Wetteksten en commentaar: </w:t>
      </w:r>
      <w:r>
        <w:rPr>
          <w:rStyle w:val="Zwaar"/>
        </w:rPr>
        <w:t>Wet op de vennootschapsbelasting 1969</w:t>
      </w:r>
      <w:r>
        <w:t xml:space="preserve"> (art. 2, art. 15c/15d). (</w:t>
      </w:r>
      <w:hyperlink r:id="rId28" w:tooltip="Wet op de vennootschapsbelasting 1969 - BWBR0002672" w:history="1">
        <w:r>
          <w:rPr>
            <w:rStyle w:val="Hyperlink"/>
            <w:rFonts w:eastAsiaTheme="majorEastAsia"/>
          </w:rPr>
          <w:t>Wetten.overheid</w:t>
        </w:r>
      </w:hyperlink>
      <w:r>
        <w:t>)</w:t>
      </w:r>
    </w:p>
    <w:p w:rsidR="00953A52" w:rsidRDefault="00953A52" w:rsidP="00953A52">
      <w:pPr>
        <w:pStyle w:val="Normaalweb"/>
        <w:numPr>
          <w:ilvl w:val="0"/>
          <w:numId w:val="11"/>
        </w:numPr>
      </w:pPr>
      <w:r>
        <w:t>Literatuur/onderzoek over exitheffingen en EU-recht: (UvT-publicaties, scripties en analyses). (</w:t>
      </w:r>
      <w:hyperlink r:id="rId29" w:tooltip="De exitheffing in de vennootschapsbelasting en het EU-recht" w:history="1">
        <w:r>
          <w:rPr>
            <w:rStyle w:val="Hyperlink"/>
            <w:rFonts w:eastAsiaTheme="majorEastAsia"/>
          </w:rPr>
          <w:t>Arno</w:t>
        </w:r>
      </w:hyperlink>
      <w:r>
        <w:t>)</w:t>
      </w:r>
    </w:p>
    <w:p w:rsidR="00953A52" w:rsidRDefault="00953A52" w:rsidP="00953A52">
      <w:pPr>
        <w:pStyle w:val="Normaalweb"/>
        <w:numPr>
          <w:ilvl w:val="0"/>
          <w:numId w:val="11"/>
        </w:numPr>
      </w:pPr>
      <w:r>
        <w:t>Relevante rechtspraak en overzichten:</w:t>
      </w:r>
    </w:p>
    <w:p w:rsidR="00953A52" w:rsidRDefault="00953A52" w:rsidP="00953A52">
      <w:pPr>
        <w:pStyle w:val="Normaalweb"/>
        <w:numPr>
          <w:ilvl w:val="1"/>
          <w:numId w:val="11"/>
        </w:numPr>
      </w:pPr>
      <w:r>
        <w:t>Gerechtshof Den Haag (19-10-2022) — praktische toetsing van binnenlandse belastingplicht. (</w:t>
      </w:r>
      <w:hyperlink r:id="rId30" w:tooltip="ECLI:NL:PHR:2022:169 Volledige tekst uitspraak" w:history="1">
        <w:r>
          <w:rPr>
            <w:rStyle w:val="Hyperlink"/>
            <w:rFonts w:eastAsiaTheme="majorEastAsia"/>
          </w:rPr>
          <w:t>Recht.nl</w:t>
        </w:r>
      </w:hyperlink>
      <w:r>
        <w:t>)</w:t>
      </w:r>
    </w:p>
    <w:p w:rsidR="00953A52" w:rsidRDefault="00953A52" w:rsidP="00953A52">
      <w:pPr>
        <w:pStyle w:val="Normaalweb"/>
        <w:numPr>
          <w:ilvl w:val="1"/>
          <w:numId w:val="11"/>
        </w:numPr>
      </w:pPr>
      <w:r>
        <w:t>GH Amsterdam (prejudiciële vraag 2010 — ECLI:NL:GHAMS:2010:BN1231) — prejudiciële stelling t.a.v. EU-toets. (</w:t>
      </w:r>
      <w:hyperlink r:id="rId31" w:tooltip="ecli:nl:ghams:2010:bn1231 - Uitspraken - De Rechtspraak" w:history="1">
        <w:r>
          <w:rPr>
            <w:rStyle w:val="Hyperlink"/>
            <w:rFonts w:eastAsiaTheme="majorEastAsia"/>
          </w:rPr>
          <w:t>Rechtspraak</w:t>
        </w:r>
      </w:hyperlink>
      <w:r>
        <w:t>)</w:t>
      </w:r>
    </w:p>
    <w:p w:rsidR="00953A52" w:rsidRDefault="00953A52" w:rsidP="00953A52">
      <w:pPr>
        <w:pStyle w:val="Normaalweb"/>
        <w:numPr>
          <w:ilvl w:val="1"/>
          <w:numId w:val="11"/>
        </w:numPr>
      </w:pPr>
      <w:r>
        <w:t>Recente uitspraken en lagere rechtspraak over conserverende aanslagen en verminderingen (2022–2025). (</w:t>
      </w:r>
      <w:hyperlink r:id="rId32" w:tooltip="ECLI:NL:RBZWB:2025:999 Volledige tekst uitspraak" w:history="1">
        <w:r>
          <w:rPr>
            <w:rStyle w:val="Hyperlink"/>
            <w:rFonts w:eastAsiaTheme="majorEastAsia"/>
          </w:rPr>
          <w:t>Recht.nl</w:t>
        </w:r>
      </w:hyperlink>
      <w:r>
        <w:t>)</w:t>
      </w:r>
    </w:p>
    <w:p w:rsidR="00953A52" w:rsidRDefault="00953A52" w:rsidP="00953A52">
      <w:pPr>
        <w:pStyle w:val="Normaalweb"/>
        <w:numPr>
          <w:ilvl w:val="0"/>
          <w:numId w:val="11"/>
        </w:numPr>
      </w:pPr>
      <w:r>
        <w:t>Parlementaire stukken / beleidsstukken: Kamerstuk 35523 e.a. (reacties op uitvoeringspraktijk). (</w:t>
      </w:r>
      <w:hyperlink r:id="rId33" w:tooltip="Kamerstuk 35523, nr. 11" w:history="1">
        <w:r>
          <w:rPr>
            <w:rStyle w:val="Hyperlink"/>
            <w:rFonts w:eastAsiaTheme="majorEastAsia"/>
          </w:rPr>
          <w:t>Officiële Bekendmakingen</w:t>
        </w:r>
      </w:hyperlink>
      <w:r>
        <w:t>)</w:t>
      </w:r>
    </w:p>
    <w:p w:rsidR="00953A52" w:rsidRDefault="007704B3" w:rsidP="00953A52">
      <w:r>
        <w:rPr>
          <w:noProof/>
        </w:rPr>
        <w:pict>
          <v:rect id="_x0000_i1025" alt="" style="width:453.15pt;height:.05pt;mso-width-percent:0;mso-height-percent:0;mso-width-percent:0;mso-height-percent:0" o:hrpct="999" o:hralign="center" o:hrstd="t" o:hr="t" fillcolor="#a0a0a0" stroked="f"/>
        </w:pict>
      </w:r>
    </w:p>
    <w:p w:rsidR="00953A52" w:rsidRDefault="00953A52" w:rsidP="00953A52">
      <w:pPr>
        <w:pStyle w:val="Normaalweb"/>
      </w:pPr>
      <w:r>
        <w:t>Als je dit wilt kan ik nu direct:</w:t>
      </w:r>
    </w:p>
    <w:p w:rsidR="00953A52" w:rsidRDefault="00953A52" w:rsidP="00953A52">
      <w:pPr>
        <w:numPr>
          <w:ilvl w:val="0"/>
          <w:numId w:val="12"/>
        </w:numPr>
        <w:spacing w:before="100" w:beforeAutospacing="1" w:after="100" w:afterAutospacing="1"/>
      </w:pPr>
    </w:p>
    <w:p w:rsidR="00953A52" w:rsidRDefault="00953A52" w:rsidP="00953A52">
      <w:pPr>
        <w:pStyle w:val="Normaalweb"/>
        <w:numPr>
          <w:ilvl w:val="1"/>
          <w:numId w:val="12"/>
        </w:numPr>
      </w:pPr>
      <w:r>
        <w:rPr>
          <w:rStyle w:val="Zwaar"/>
        </w:rPr>
        <w:t>Een compacte tabel</w:t>
      </w:r>
      <w:r>
        <w:t xml:space="preserve"> maken (wetartikel — kernbegrip — gevolgen — praktijkchecklist), of</w:t>
      </w:r>
    </w:p>
    <w:p w:rsidR="00953A52" w:rsidRDefault="00953A52" w:rsidP="00953A52">
      <w:pPr>
        <w:numPr>
          <w:ilvl w:val="0"/>
          <w:numId w:val="12"/>
        </w:numPr>
        <w:spacing w:before="100" w:beforeAutospacing="1" w:after="100" w:afterAutospacing="1"/>
      </w:pPr>
    </w:p>
    <w:p w:rsidR="00953A52" w:rsidRDefault="00953A52" w:rsidP="00953A52">
      <w:pPr>
        <w:pStyle w:val="Normaalweb"/>
        <w:numPr>
          <w:ilvl w:val="1"/>
          <w:numId w:val="13"/>
        </w:numPr>
      </w:pPr>
      <w:r>
        <w:rPr>
          <w:rStyle w:val="Zwaar"/>
        </w:rPr>
        <w:t>Per genoemde rechtspraak</w:t>
      </w:r>
      <w:r>
        <w:t xml:space="preserve"> de volledige ECLI-tekst downloaden en een samenvatting van álle relevante overwegingen (rechtsgronden, concrete feitenlijst, consequenties voor waardering/inning) genereren met citaten uit de uitspraak (let op: dat wordt technisch een langer document), of</w:t>
      </w:r>
    </w:p>
    <w:p w:rsidR="00953A52" w:rsidRDefault="00953A52" w:rsidP="00953A52">
      <w:pPr>
        <w:numPr>
          <w:ilvl w:val="0"/>
          <w:numId w:val="12"/>
        </w:numPr>
        <w:spacing w:before="100" w:beforeAutospacing="1" w:after="100" w:afterAutospacing="1"/>
      </w:pPr>
    </w:p>
    <w:p w:rsidR="00953A52" w:rsidRDefault="00953A52" w:rsidP="00953A52">
      <w:pPr>
        <w:pStyle w:val="Normaalweb"/>
        <w:numPr>
          <w:ilvl w:val="1"/>
          <w:numId w:val="14"/>
        </w:numPr>
      </w:pPr>
      <w:r>
        <w:t xml:space="preserve">Een </w:t>
      </w:r>
      <w:r>
        <w:rPr>
          <w:rStyle w:val="Zwaar"/>
        </w:rPr>
        <w:t>trainings-JSON</w:t>
      </w:r>
      <w:r>
        <w:t xml:space="preserve"> maken met korte cases (feiten, vraag, expected label/uitkomst) zodat het direct in een AI-training gebruikt kan worden.</w:t>
      </w:r>
    </w:p>
    <w:p w:rsidR="00953A52" w:rsidRDefault="00953A52" w:rsidP="00953A52">
      <w:pPr>
        <w:pStyle w:val="Normaalweb"/>
      </w:pPr>
      <w:r>
        <w:t>Welke van de drie wil je dat ik nu maak? (Ik ga het direct voor je uitwerken — geen wachttijd.)</w:t>
      </w:r>
    </w:p>
    <w:p w:rsidR="00953A52" w:rsidRPr="00953A52" w:rsidRDefault="00953A52"/>
    <w:sectPr w:rsidR="00953A52" w:rsidRPr="00953A52"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17830"/>
    <w:multiLevelType w:val="multilevel"/>
    <w:tmpl w:val="1A9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2364E"/>
    <w:multiLevelType w:val="multilevel"/>
    <w:tmpl w:val="2C6EE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0E16"/>
    <w:multiLevelType w:val="multilevel"/>
    <w:tmpl w:val="2362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753BE"/>
    <w:multiLevelType w:val="multilevel"/>
    <w:tmpl w:val="D33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23C33"/>
    <w:multiLevelType w:val="multilevel"/>
    <w:tmpl w:val="793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876B5"/>
    <w:multiLevelType w:val="multilevel"/>
    <w:tmpl w:val="C05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F2DC1"/>
    <w:multiLevelType w:val="multilevel"/>
    <w:tmpl w:val="284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51864"/>
    <w:multiLevelType w:val="multilevel"/>
    <w:tmpl w:val="E76E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B6E8E"/>
    <w:multiLevelType w:val="multilevel"/>
    <w:tmpl w:val="3040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6262E"/>
    <w:multiLevelType w:val="multilevel"/>
    <w:tmpl w:val="E6C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1781A"/>
    <w:multiLevelType w:val="multilevel"/>
    <w:tmpl w:val="B8E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033D7"/>
    <w:multiLevelType w:val="multilevel"/>
    <w:tmpl w:val="DF8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22747">
    <w:abstractNumId w:val="11"/>
  </w:num>
  <w:num w:numId="2" w16cid:durableId="1480804807">
    <w:abstractNumId w:val="4"/>
  </w:num>
  <w:num w:numId="3" w16cid:durableId="510996870">
    <w:abstractNumId w:val="0"/>
  </w:num>
  <w:num w:numId="4" w16cid:durableId="1820925568">
    <w:abstractNumId w:val="3"/>
  </w:num>
  <w:num w:numId="5" w16cid:durableId="479731868">
    <w:abstractNumId w:val="6"/>
  </w:num>
  <w:num w:numId="6" w16cid:durableId="721172006">
    <w:abstractNumId w:val="9"/>
  </w:num>
  <w:num w:numId="7" w16cid:durableId="142435930">
    <w:abstractNumId w:val="2"/>
  </w:num>
  <w:num w:numId="8" w16cid:durableId="1656254489">
    <w:abstractNumId w:val="10"/>
  </w:num>
  <w:num w:numId="9" w16cid:durableId="2779688">
    <w:abstractNumId w:val="5"/>
  </w:num>
  <w:num w:numId="10" w16cid:durableId="51387628">
    <w:abstractNumId w:val="7"/>
  </w:num>
  <w:num w:numId="11" w16cid:durableId="241451022">
    <w:abstractNumId w:val="8"/>
  </w:num>
  <w:num w:numId="12" w16cid:durableId="919828486">
    <w:abstractNumId w:val="1"/>
  </w:num>
  <w:num w:numId="13" w16cid:durableId="2145348457">
    <w:abstractNumId w:val="1"/>
    <w:lvlOverride w:ilvl="1">
      <w:startOverride w:val="2"/>
    </w:lvlOverride>
  </w:num>
  <w:num w:numId="14" w16cid:durableId="240213049">
    <w:abstractNumId w:val="1"/>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52"/>
    <w:rsid w:val="00017EE2"/>
    <w:rsid w:val="00094D1F"/>
    <w:rsid w:val="001C5DB1"/>
    <w:rsid w:val="007704B3"/>
    <w:rsid w:val="00953A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64A5"/>
  <w15:chartTrackingRefBased/>
  <w15:docId w15:val="{A07F4BC1-7CF5-4B4E-84C8-05E03757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53A5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semiHidden/>
    <w:unhideWhenUsed/>
    <w:qFormat/>
    <w:rsid w:val="00953A5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link w:val="Kop3Char"/>
    <w:uiPriority w:val="9"/>
    <w:qFormat/>
    <w:rsid w:val="00953A52"/>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paragraph" w:styleId="Kop4">
    <w:name w:val="heading 4"/>
    <w:basedOn w:val="Standaard"/>
    <w:link w:val="Kop4Char"/>
    <w:uiPriority w:val="9"/>
    <w:qFormat/>
    <w:rsid w:val="00953A52"/>
    <w:pPr>
      <w:spacing w:before="100" w:beforeAutospacing="1" w:after="100" w:afterAutospacing="1"/>
      <w:outlineLvl w:val="3"/>
    </w:pPr>
    <w:rPr>
      <w:rFonts w:ascii="Times New Roman" w:eastAsia="Times New Roman" w:hAnsi="Times New Roman" w:cs="Times New Roman"/>
      <w:b/>
      <w:bCs/>
      <w:kern w:val="0"/>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953A52"/>
    <w:rPr>
      <w:rFonts w:ascii="Times New Roman" w:eastAsia="Times New Roman" w:hAnsi="Times New Roman" w:cs="Times New Roman"/>
      <w:b/>
      <w:bCs/>
      <w:kern w:val="0"/>
      <w:sz w:val="27"/>
      <w:szCs w:val="27"/>
      <w:lang w:eastAsia="nl-NL"/>
      <w14:ligatures w14:val="none"/>
    </w:rPr>
  </w:style>
  <w:style w:type="character" w:customStyle="1" w:styleId="Kop4Char">
    <w:name w:val="Kop 4 Char"/>
    <w:basedOn w:val="Standaardalinea-lettertype"/>
    <w:link w:val="Kop4"/>
    <w:uiPriority w:val="9"/>
    <w:rsid w:val="00953A52"/>
    <w:rPr>
      <w:rFonts w:ascii="Times New Roman" w:eastAsia="Times New Roman" w:hAnsi="Times New Roman" w:cs="Times New Roman"/>
      <w:b/>
      <w:bCs/>
      <w:kern w:val="0"/>
      <w:lang w:eastAsia="nl-NL"/>
      <w14:ligatures w14:val="none"/>
    </w:rPr>
  </w:style>
  <w:style w:type="paragraph" w:styleId="Normaalweb">
    <w:name w:val="Normal (Web)"/>
    <w:basedOn w:val="Standaard"/>
    <w:uiPriority w:val="99"/>
    <w:semiHidden/>
    <w:unhideWhenUsed/>
    <w:rsid w:val="00953A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953A52"/>
    <w:rPr>
      <w:b/>
      <w:bCs/>
    </w:rPr>
  </w:style>
  <w:style w:type="character" w:customStyle="1" w:styleId="Kop1Char">
    <w:name w:val="Kop 1 Char"/>
    <w:basedOn w:val="Standaardalinea-lettertype"/>
    <w:link w:val="Kop1"/>
    <w:uiPriority w:val="9"/>
    <w:rsid w:val="00953A52"/>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semiHidden/>
    <w:rsid w:val="00953A52"/>
    <w:rPr>
      <w:rFonts w:asciiTheme="majorHAnsi" w:eastAsiaTheme="majorEastAsia" w:hAnsiTheme="majorHAnsi" w:cstheme="majorBidi"/>
      <w:color w:val="2F5496" w:themeColor="accent1" w:themeShade="BF"/>
      <w:sz w:val="26"/>
      <w:szCs w:val="26"/>
    </w:rPr>
  </w:style>
  <w:style w:type="character" w:styleId="Hyperlink">
    <w:name w:val="Hyperlink"/>
    <w:basedOn w:val="Standaardalinea-lettertype"/>
    <w:uiPriority w:val="99"/>
    <w:semiHidden/>
    <w:unhideWhenUsed/>
    <w:rsid w:val="00953A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707521">
      <w:bodyDiv w:val="1"/>
      <w:marLeft w:val="0"/>
      <w:marRight w:val="0"/>
      <w:marTop w:val="0"/>
      <w:marBottom w:val="0"/>
      <w:divBdr>
        <w:top w:val="none" w:sz="0" w:space="0" w:color="auto"/>
        <w:left w:val="none" w:sz="0" w:space="0" w:color="auto"/>
        <w:bottom w:val="none" w:sz="0" w:space="0" w:color="auto"/>
        <w:right w:val="none" w:sz="0" w:space="0" w:color="auto"/>
      </w:divBdr>
    </w:div>
    <w:div w:id="111833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cht.nl/rechtspraak/uitspraak?ecli=ECLI%3ANL%3APHR%3A2022%3A169&amp;utm_source=chatgpt.com" TargetMode="External"/><Relationship Id="rId18" Type="http://schemas.openxmlformats.org/officeDocument/2006/relationships/hyperlink" Target="https://uitspraken.rechtspraak.nl/details?id=ECLI%3ANL%3APHR%3A2013%3ACA2292&amp;utm_source=chatgpt.com" TargetMode="External"/><Relationship Id="rId26" Type="http://schemas.openxmlformats.org/officeDocument/2006/relationships/hyperlink" Target="https://uitspraken.rechtspraak.nl/details?id=ECLI%3ANL%3AGHAMS%3A2010%3ABN1231&amp;utm_source=chatgpt.com" TargetMode="External"/><Relationship Id="rId3" Type="http://schemas.openxmlformats.org/officeDocument/2006/relationships/settings" Target="settings.xml"/><Relationship Id="rId21" Type="http://schemas.openxmlformats.org/officeDocument/2006/relationships/hyperlink" Target="https://zoek.officielebekendmakingen.nl/kst-35523-11.html?utm_source=chatgpt.com" TargetMode="External"/><Relationship Id="rId34" Type="http://schemas.openxmlformats.org/officeDocument/2006/relationships/fontTable" Target="fontTable.xml"/><Relationship Id="rId7" Type="http://schemas.openxmlformats.org/officeDocument/2006/relationships/hyperlink" Target="https://arno.uvt.nl/show.cgi?fid=114639&amp;utm_source=chatgpt.com" TargetMode="External"/><Relationship Id="rId12" Type="http://schemas.openxmlformats.org/officeDocument/2006/relationships/hyperlink" Target="https://www.recht.nl/rechtspraak/uitspraak?ecli=ECLI%3ANL%3APHR%3A2022%3A169&amp;utm_source=chatgpt.com" TargetMode="External"/><Relationship Id="rId17" Type="http://schemas.openxmlformats.org/officeDocument/2006/relationships/hyperlink" Target="https://uitspraken.rechtspraak.nl/details?id=ECLI%3ANL%3AGHAMS%3A2010%3ABN1231&amp;utm_source=chatgpt.com" TargetMode="External"/><Relationship Id="rId25" Type="http://schemas.openxmlformats.org/officeDocument/2006/relationships/hyperlink" Target="https://www.recht.nl/rechtspraak/uitspraak?ecli=ECLI%3ANL%3APHR%3A2022%3A169&amp;utm_source=chatgpt.com" TargetMode="External"/><Relationship Id="rId33" Type="http://schemas.openxmlformats.org/officeDocument/2006/relationships/hyperlink" Target="https://zoek.officielebekendmakingen.nl/kst-35523-11.html?utm_source=chatgpt.com" TargetMode="External"/><Relationship Id="rId2" Type="http://schemas.openxmlformats.org/officeDocument/2006/relationships/styles" Target="styles.xml"/><Relationship Id="rId16" Type="http://schemas.openxmlformats.org/officeDocument/2006/relationships/hyperlink" Target="https://uitspraken.rechtspraak.nl/details?id=ECLI%3ANL%3AGHAMS%3A2010%3ABN1231&amp;utm_source=chatgpt.com" TargetMode="External"/><Relationship Id="rId20" Type="http://schemas.openxmlformats.org/officeDocument/2006/relationships/hyperlink" Target="https://kennisgroepen.belastingdienst.nl/publicaties/kg20720251-intrekken-uitstel-conserverende-aanslag-in-verband-met-een-dividenduitkering-en-strijd-met-de-goede-verdragstrouw/?utm_source=chatgpt.com" TargetMode="External"/><Relationship Id="rId29" Type="http://schemas.openxmlformats.org/officeDocument/2006/relationships/hyperlink" Target="https://arno.uvt.nl/show.cgi?fid=114639&amp;utm_source=chatgpt.com" TargetMode="External"/><Relationship Id="rId1" Type="http://schemas.openxmlformats.org/officeDocument/2006/relationships/numbering" Target="numbering.xml"/><Relationship Id="rId6" Type="http://schemas.openxmlformats.org/officeDocument/2006/relationships/hyperlink" Target="https://arno.uvt.nl/show.cgi?fid=114639&amp;utm_source=chatgpt.com" TargetMode="External"/><Relationship Id="rId11" Type="http://schemas.openxmlformats.org/officeDocument/2006/relationships/hyperlink" Target="https://arno.uvt.nl/show.cgi?fid=114639&amp;utm_source=chatgpt.com" TargetMode="External"/><Relationship Id="rId24" Type="http://schemas.openxmlformats.org/officeDocument/2006/relationships/hyperlink" Target="https://wetten.overheid.nl/BWBR0002672?utm_source=chatgpt.com" TargetMode="External"/><Relationship Id="rId32" Type="http://schemas.openxmlformats.org/officeDocument/2006/relationships/hyperlink" Target="https://recht.nl/rechtspraak/uitspraak/?ecli=ECLI%3ANL%3ARBZWB%3A2025%3A999&amp;utm_source=chatgpt.com" TargetMode="External"/><Relationship Id="rId5" Type="http://schemas.openxmlformats.org/officeDocument/2006/relationships/hyperlink" Target="https://wetten.overheid.nl/BWBR0002672?utm_source=chatgpt.com" TargetMode="External"/><Relationship Id="rId15" Type="http://schemas.openxmlformats.org/officeDocument/2006/relationships/hyperlink" Target="https://uitspraken.rechtspraak.nl/details?id=ECLI%3ANL%3AGHAMS%3A2010%3ABN1231&amp;utm_source=chatgpt.com" TargetMode="External"/><Relationship Id="rId23" Type="http://schemas.openxmlformats.org/officeDocument/2006/relationships/hyperlink" Target="https://arno.uvt.nl/show.cgi?fid=114639&amp;utm_source=chatgpt.com" TargetMode="External"/><Relationship Id="rId28" Type="http://schemas.openxmlformats.org/officeDocument/2006/relationships/hyperlink" Target="https://wetten.overheid.nl/BWBR0002672?utm_source=chatgpt.com" TargetMode="External"/><Relationship Id="rId10" Type="http://schemas.openxmlformats.org/officeDocument/2006/relationships/hyperlink" Target="https://www.jongbloed-fiscaaljuristen.nl/emigratie/actueel_emigratie/conserverende_aanslagen/?utm_source=chatgpt.com" TargetMode="External"/><Relationship Id="rId19" Type="http://schemas.openxmlformats.org/officeDocument/2006/relationships/hyperlink" Target="https://recht.nl/rechtspraak/uitspraak/?ecli=ECLI%3ANL%3ARBZWB%3A2025%3A999&amp;utm_source=chatgpt.com" TargetMode="External"/><Relationship Id="rId31" Type="http://schemas.openxmlformats.org/officeDocument/2006/relationships/hyperlink" Target="https://uitspraken.rechtspraak.nl/details?id=ECLI%3ANL%3AGHAMS%3A2010%3ABN1231&amp;utm_source=chatgpt.com" TargetMode="External"/><Relationship Id="rId4" Type="http://schemas.openxmlformats.org/officeDocument/2006/relationships/webSettings" Target="webSettings.xml"/><Relationship Id="rId9" Type="http://schemas.openxmlformats.org/officeDocument/2006/relationships/hyperlink" Target="https://arno.uvt.nl/show.cgi?fid=114639&amp;utm_source=chatgpt.com" TargetMode="External"/><Relationship Id="rId14" Type="http://schemas.openxmlformats.org/officeDocument/2006/relationships/hyperlink" Target="https://www.recht.nl/rechtspraak/uitspraak?ecli=ECLI%3ANL%3APHR%3A2022%3A169&amp;utm_source=chatgpt.com" TargetMode="External"/><Relationship Id="rId22" Type="http://schemas.openxmlformats.org/officeDocument/2006/relationships/hyperlink" Target="https://zoek.officielebekendmakingen.nl/kst-35523-11.html?utm_source=chatgpt.com" TargetMode="External"/><Relationship Id="rId27" Type="http://schemas.openxmlformats.org/officeDocument/2006/relationships/hyperlink" Target="https://kennisgroepen.belastingdienst.nl/publicaties/kg20720251-intrekken-uitstel-conserverende-aanslag-in-verband-met-een-dividenduitkering-en-strijd-met-de-goede-verdragstrouw/?utm_source=chatgpt.com" TargetMode="External"/><Relationship Id="rId30" Type="http://schemas.openxmlformats.org/officeDocument/2006/relationships/hyperlink" Target="https://www.recht.nl/rechtspraak/uitspraak?ecli=ECLI%3ANL%3APHR%3A2022%3A169&amp;utm_source=chatgpt.com" TargetMode="External"/><Relationship Id="rId35" Type="http://schemas.openxmlformats.org/officeDocument/2006/relationships/theme" Target="theme/theme1.xml"/><Relationship Id="rId8" Type="http://schemas.openxmlformats.org/officeDocument/2006/relationships/hyperlink" Target="https://zoek.officielebekendmakingen.nl/kst-35523-11.html?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2810</Words>
  <Characters>15458</Characters>
  <Application>Microsoft Office Word</Application>
  <DocSecurity>0</DocSecurity>
  <Lines>128</Lines>
  <Paragraphs>36</Paragraphs>
  <ScaleCrop>false</ScaleCrop>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2025-10-28T18:58:00Z</dcterms:created>
  <dcterms:modified xsi:type="dcterms:W3CDTF">2025-10-28T19:01:00Z</dcterms:modified>
</cp:coreProperties>
</file>