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4D1F" w:rsidRDefault="00D9636B">
      <w:r w:rsidRPr="00D9636B">
        <w:t>Gevolgen emigratie met een bedrijf in de inkomstenbelasting</w:t>
      </w:r>
    </w:p>
    <w:p w:rsidR="00D9636B" w:rsidRDefault="00D9636B"/>
    <w:p w:rsidR="00D9636B" w:rsidRPr="00D9636B" w:rsidRDefault="00D9636B" w:rsidP="00D9636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Heel goed — hieronder volgt een </w:t>
      </w: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volledige en diepgaande uitleg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van de </w:t>
      </w: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gevolgen van emigratie met een onderneming voor de inkomstenbelasting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, zoals gebruikt kan worden voor het trainen van een AI-model dat Nederlandse fiscale kennis moet begrijpen.</w:t>
      </w:r>
    </w:p>
    <w:p w:rsidR="00D9636B" w:rsidRPr="00D9636B" w:rsidRDefault="00D9636B" w:rsidP="00D9636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 uitleg bevat:</w:t>
      </w:r>
    </w:p>
    <w:p w:rsidR="00D9636B" w:rsidRPr="00D9636B" w:rsidRDefault="00D9636B" w:rsidP="00D9636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Juridische achtergrond;</w:t>
      </w:r>
    </w:p>
    <w:p w:rsidR="00D9636B" w:rsidRPr="00D9636B" w:rsidRDefault="00D9636B" w:rsidP="00D9636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Kern van de emigratieheffing bij IB-ondernemers;</w:t>
      </w:r>
    </w:p>
    <w:p w:rsidR="00D9636B" w:rsidRPr="00D9636B" w:rsidRDefault="00D9636B" w:rsidP="00D9636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Belangrijke wetsartikelen;</w:t>
      </w:r>
    </w:p>
    <w:p w:rsidR="00D9636B" w:rsidRPr="00D9636B" w:rsidRDefault="00D9636B" w:rsidP="00D9636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Stappen in het proces (van vertrek tot invordering);</w:t>
      </w:r>
    </w:p>
    <w:p w:rsidR="00D9636B" w:rsidRPr="00D9636B" w:rsidRDefault="00D9636B" w:rsidP="00D9636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Verschillen binnen/buiten EU;</w:t>
      </w:r>
    </w:p>
    <w:p w:rsidR="00D9636B" w:rsidRPr="00D9636B" w:rsidRDefault="00D9636B" w:rsidP="00D9636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Relevante jurisprudentie (met uitgebreide samenvattingen);</w:t>
      </w:r>
    </w:p>
    <w:p w:rsidR="00D9636B" w:rsidRPr="00D9636B" w:rsidRDefault="00D9636B" w:rsidP="00D9636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Samenvattende tabel voor trainingsdoeleinden.</w:t>
      </w:r>
    </w:p>
    <w:p w:rsidR="00D9636B" w:rsidRPr="00D9636B" w:rsidRDefault="0030333A" w:rsidP="00D9636B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>
        <w:rPr>
          <w:noProof/>
        </w:rPr>
      </w:r>
      <w:r>
        <w:pict w14:anchorId="5D6A75EF">
          <v:rect id="Horizontal Line 1" o:spid="_x0000_s1032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A13+9/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9636B" w:rsidRPr="00D9636B" w:rsidRDefault="00D9636B" w:rsidP="00D963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1</w:t>
      </w:r>
      <w:r w:rsidRPr="00D9636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D963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Achtergrond en uitgangspunt</w:t>
      </w:r>
    </w:p>
    <w:p w:rsidR="00D9636B" w:rsidRPr="00D9636B" w:rsidRDefault="00D9636B" w:rsidP="00D9636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Wanneer een </w:t>
      </w: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natuurlijk persoon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met een </w:t>
      </w: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onderneming (eenmanszaak, VOF-aandeel, maatschap)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emigreert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uit Nederland, verandert zijn fiscale status van </w:t>
      </w: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binnenlands belastingplichtige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(wereldwijd inkomen belast) naar </w:t>
      </w: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buitenlands belastingplichtige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(alleen Nederlands inkomen belast).</w:t>
      </w:r>
    </w:p>
    <w:p w:rsidR="00D9636B" w:rsidRPr="00D9636B" w:rsidRDefault="00D9636B" w:rsidP="00D9636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Apple Color Emoji" w:eastAsia="Times New Roman" w:hAnsi="Apple Color Emoji" w:cs="Apple Color Emoji"/>
          <w:kern w:val="0"/>
          <w:lang w:eastAsia="nl-NL"/>
          <w14:ligatures w14:val="none"/>
        </w:rPr>
        <w:t>👉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Hierdoor dreigt Nederland zijn heffingsrecht te verliezen over de </w:t>
      </w: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in Nederland opgebouwde, nog niet belaste winstreserves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Om dat te voorkomen, kent de Wet IB 2001 de </w:t>
      </w: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emigratieheffing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— ook wel de </w:t>
      </w: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stakingswinstheffing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of </w:t>
      </w: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conserverende aanslag bij emigratie van ondernemers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genoemd.</w:t>
      </w:r>
    </w:p>
    <w:p w:rsidR="00D9636B" w:rsidRPr="00D9636B" w:rsidRDefault="0030333A" w:rsidP="00D9636B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>
        <w:rPr>
          <w:noProof/>
        </w:rPr>
      </w:r>
      <w:r>
        <w:pict w14:anchorId="58EFEE2A">
          <v:rect id="Horizontal Line 2" o:spid="_x0000_s1031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A13+9/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9636B" w:rsidRPr="00D9636B" w:rsidRDefault="00D9636B" w:rsidP="00D963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2</w:t>
      </w:r>
      <w:r w:rsidRPr="00D9636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D963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Kern: de fiscale stakingswinst bij emigratie</w:t>
      </w:r>
    </w:p>
    <w:p w:rsidR="00D9636B" w:rsidRPr="00D9636B" w:rsidRDefault="00D9636B" w:rsidP="00D9636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Bij emigratie wordt de ondernemer </w:t>
      </w: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geacht zijn onderneming te staken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, alsof hij deze heeft verkocht aan zichzelf tegen de waarde in het economisch verkeer.</w:t>
      </w:r>
    </w:p>
    <w:p w:rsidR="00D9636B" w:rsidRPr="00D9636B" w:rsidRDefault="00D9636B" w:rsidP="00D9636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Alle stille reserves, goodwill en fiscale reserves worden daarmee </w:t>
      </w: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belast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:rsidR="00D9636B" w:rsidRPr="00D9636B" w:rsidRDefault="00D9636B" w:rsidP="00D9636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Er ontstaat dus een </w:t>
      </w: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fictieve stakingswinst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:rsidR="00D9636B" w:rsidRPr="00D9636B" w:rsidRDefault="00D9636B" w:rsidP="00D9636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Apple Color Emoji" w:eastAsia="Times New Roman" w:hAnsi="Apple Color Emoji" w:cs="Apple Color Emoji"/>
          <w:kern w:val="0"/>
          <w:lang w:eastAsia="nl-NL"/>
          <w14:ligatures w14:val="none"/>
        </w:rPr>
        <w:t>💡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Het doel is te voorkomen dat een ondernemer winst opgebouwd in Nederland, onbelast meeneemt naar het buitenland.</w:t>
      </w:r>
    </w:p>
    <w:p w:rsidR="00D9636B" w:rsidRPr="00D9636B" w:rsidRDefault="0030333A" w:rsidP="00D9636B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30333A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45" alt="" style="width:453.15pt;height:.05pt;mso-width-percent:0;mso-height-percent:0;mso-width-percent:0;mso-height-percent:0" o:hrpct="999" o:hralign="center" o:hrstd="t" o:hr="t" fillcolor="#a0a0a0" stroked="f"/>
        </w:pict>
      </w:r>
    </w:p>
    <w:p w:rsidR="00D9636B" w:rsidRPr="00D9636B" w:rsidRDefault="00D9636B" w:rsidP="00D963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3</w:t>
      </w:r>
      <w:r w:rsidRPr="00D9636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D963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Wettelijke grondslagen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1207"/>
        <w:gridCol w:w="5467"/>
      </w:tblGrid>
      <w:tr w:rsidR="00D9636B" w:rsidRPr="00D9636B" w:rsidTr="00D963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lastRenderedPageBreak/>
              <w:t>Wet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Artikel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proofErr w:type="gramStart"/>
            <w:r w:rsidRPr="00D9636B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Inhoud /</w:t>
            </w:r>
            <w:proofErr w:type="gramEnd"/>
            <w:r w:rsidRPr="00D9636B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 xml:space="preserve"> betekenis</w:t>
            </w:r>
          </w:p>
        </w:tc>
      </w:tr>
      <w:tr w:rsidR="00D9636B" w:rsidRPr="00D9636B" w:rsidTr="00D963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Wet inkomstenbelasting 2001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Art. 3.54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Bepaalt dat bij </w:t>
            </w:r>
            <w:r w:rsidRPr="00D9636B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staking</w:t>
            </w: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van een onderneming alle stille reserves en goodwill tot de winst worden gerekend.</w:t>
            </w:r>
          </w:p>
        </w:tc>
      </w:tr>
      <w:tr w:rsidR="00D9636B" w:rsidRPr="00D9636B" w:rsidTr="00D963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Art. 3.60 t/m 3.62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Regelen de mogelijkheid van </w:t>
            </w:r>
            <w:r w:rsidRPr="00D9636B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 xml:space="preserve">geruisloze </w:t>
            </w:r>
            <w:proofErr w:type="spellStart"/>
            <w:r w:rsidRPr="00D9636B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doorschuiving</w:t>
            </w:r>
            <w:proofErr w:type="spellEnd"/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bij fusie, splitsing of inbreng in een BV (onder voorwaarden).</w:t>
            </w:r>
          </w:p>
        </w:tc>
      </w:tr>
      <w:tr w:rsidR="00D9636B" w:rsidRPr="00D9636B" w:rsidTr="00D963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Art. 3.83 en 3.84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Bevatten bepalingen over </w:t>
            </w:r>
            <w:r w:rsidRPr="00D9636B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overdrachtswinsten</w:t>
            </w: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en </w:t>
            </w:r>
            <w:r w:rsidRPr="00D9636B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stakingswinstvrijstelling</w:t>
            </w: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.</w:t>
            </w:r>
          </w:p>
        </w:tc>
      </w:tr>
      <w:tr w:rsidR="00D9636B" w:rsidRPr="00D9636B" w:rsidTr="00D963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Wet IB 2001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Art. 4.16 lid 1 sub h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Bepaalt de fictieve vervreemding bij aanmerkelijk belang bij emigratie (voor de DGA).</w:t>
            </w:r>
          </w:p>
        </w:tc>
      </w:tr>
      <w:tr w:rsidR="00D9636B" w:rsidRPr="00D9636B" w:rsidTr="00D963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Invorderingswet 1990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Art. 25 t/m 27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Regelen de </w:t>
            </w:r>
            <w:r w:rsidRPr="00D9636B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conserverende aanslag</w:t>
            </w: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en het </w:t>
            </w:r>
            <w:r w:rsidRPr="00D9636B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uitstel van betaling</w:t>
            </w: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.</w:t>
            </w:r>
          </w:p>
        </w:tc>
      </w:tr>
      <w:tr w:rsidR="00D9636B" w:rsidRPr="00D9636B" w:rsidTr="00D963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 xml:space="preserve">Wet </w:t>
            </w:r>
            <w:proofErr w:type="spellStart"/>
            <w:r w:rsidRPr="00D9636B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Vpb</w:t>
            </w:r>
            <w:proofErr w:type="spellEnd"/>
            <w:r w:rsidRPr="00D9636B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 xml:space="preserve"> 1969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Alleen relevant bij ondernemingen in de rechtsvorm BV/NV (dan geldt </w:t>
            </w:r>
            <w:proofErr w:type="spellStart"/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Vpb</w:t>
            </w:r>
            <w:proofErr w:type="spellEnd"/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-heffing i.p.v. IB).</w:t>
            </w:r>
          </w:p>
        </w:tc>
      </w:tr>
    </w:tbl>
    <w:p w:rsidR="00D9636B" w:rsidRPr="00D9636B" w:rsidRDefault="0030333A" w:rsidP="00D9636B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30333A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44" alt="" style="width:453.15pt;height:.05pt;mso-width-percent:0;mso-height-percent:0;mso-width-percent:0;mso-height-percent:0" o:hrpct="999" o:hralign="center" o:hrstd="t" o:hr="t" fillcolor="#a0a0a0" stroked="f"/>
        </w:pict>
      </w:r>
    </w:p>
    <w:p w:rsidR="00D9636B" w:rsidRPr="00D9636B" w:rsidRDefault="00D9636B" w:rsidP="00D963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4</w:t>
      </w:r>
      <w:r w:rsidRPr="00D9636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D963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Stappen bij emigratie van een IB-ondernemer</w:t>
      </w:r>
    </w:p>
    <w:p w:rsidR="00D9636B" w:rsidRPr="00D9636B" w:rsidRDefault="00D9636B" w:rsidP="00D9636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Stap 1. Vaststellen emigratie</w:t>
      </w:r>
    </w:p>
    <w:p w:rsidR="00D9636B" w:rsidRPr="00D9636B" w:rsidRDefault="00D9636B" w:rsidP="00D9636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 ondernemer verhuist zijn fiscale woonplaats naar het buitenland.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→ Vanaf dat moment is hij </w:t>
      </w: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geen binnenlands belastingplichtige meer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:rsidR="00D9636B" w:rsidRPr="00D9636B" w:rsidRDefault="00D9636B" w:rsidP="00D9636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Stap 2. Fictieve staking</w:t>
      </w:r>
    </w:p>
    <w:p w:rsidR="00D9636B" w:rsidRPr="00D9636B" w:rsidRDefault="00D9636B" w:rsidP="00D9636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De Belastingdienst beschouwt de onderneming als </w:t>
      </w: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gestaakt op de dag vóór emigratie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→ Alle </w:t>
      </w: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stille reserves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, </w:t>
      </w: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fiscale reserves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(zoals herinvesteringsreserve), en </w:t>
      </w: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goodwill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moeten in de winst worden opgenomen.</w:t>
      </w:r>
    </w:p>
    <w:p w:rsidR="00D9636B" w:rsidRPr="00D9636B" w:rsidRDefault="00D9636B" w:rsidP="00D9636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Stap 3. Aanslag inkomstenbelasting</w:t>
      </w:r>
    </w:p>
    <w:p w:rsidR="00D9636B" w:rsidRPr="00D9636B" w:rsidRDefault="00D9636B" w:rsidP="00D9636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De ondernemer moet </w:t>
      </w: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aangifte doen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over het jaar van emigratie.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→ De winst uit onderneming omvat dan ook de </w:t>
      </w: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stakingswinst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:rsidR="00D9636B" w:rsidRPr="00D9636B" w:rsidRDefault="00D9636B" w:rsidP="00D9636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Stap 4. Conserverende aanslag en uitstel</w:t>
      </w:r>
    </w:p>
    <w:p w:rsidR="00D9636B" w:rsidRPr="00D9636B" w:rsidRDefault="00D9636B" w:rsidP="00D9636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De Belastingdienst legt een </w:t>
      </w: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conserverende aanslag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op over de stakingswinst.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→ </w:t>
      </w: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Uitstel van betaling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wordt verleend (Invorderingswet art. 25–27):</w:t>
      </w:r>
    </w:p>
    <w:p w:rsidR="00D9636B" w:rsidRPr="00D9636B" w:rsidRDefault="00D9636B" w:rsidP="00D9636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Binnen EU/EER: onbeperkt uitstel zonder zekerheid.</w:t>
      </w:r>
    </w:p>
    <w:p w:rsidR="00D9636B" w:rsidRPr="00D9636B" w:rsidRDefault="00D9636B" w:rsidP="00D9636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Buiten EU/EER: beperkt uitstel (10 jaar) met zekerheid (bankgarantie).</w:t>
      </w:r>
    </w:p>
    <w:p w:rsidR="00D9636B" w:rsidRPr="00D9636B" w:rsidRDefault="00D9636B" w:rsidP="00D9636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Stap 5. Intrekking van uitstel</w:t>
      </w:r>
    </w:p>
    <w:p w:rsidR="00D9636B" w:rsidRPr="00D9636B" w:rsidRDefault="00D9636B" w:rsidP="00D9636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Het uitstel vervalt als:</w:t>
      </w:r>
    </w:p>
    <w:p w:rsidR="00D9636B" w:rsidRPr="00D9636B" w:rsidRDefault="00D9636B" w:rsidP="00D9636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lastRenderedPageBreak/>
        <w:t>De ondernemer de onderneming daadwerkelijk verkoopt of liquideert;</w:t>
      </w:r>
    </w:p>
    <w:p w:rsidR="00D9636B" w:rsidRPr="00D9636B" w:rsidRDefault="00D9636B" w:rsidP="00D9636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Niet aan voorwaarden wordt voldaan (bijv. informatieverplichtingen).</w:t>
      </w:r>
    </w:p>
    <w:p w:rsidR="00D9636B" w:rsidRPr="00D9636B" w:rsidRDefault="0030333A" w:rsidP="00D9636B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30333A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43" alt="" style="width:453.15pt;height:.05pt;mso-width-percent:0;mso-height-percent:0;mso-width-percent:0;mso-height-percent:0" o:hrpct="999" o:hralign="center" o:hrstd="t" o:hr="t" fillcolor="#a0a0a0" stroked="f"/>
        </w:pict>
      </w:r>
    </w:p>
    <w:p w:rsidR="00D9636B" w:rsidRPr="00D9636B" w:rsidRDefault="00D9636B" w:rsidP="00D963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5</w:t>
      </w:r>
      <w:r w:rsidRPr="00D9636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D963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Verschillen tussen emigratie binnen en buiten de EU/EER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3424"/>
        <w:gridCol w:w="3485"/>
      </w:tblGrid>
      <w:tr w:rsidR="00D9636B" w:rsidRPr="00D9636B" w:rsidTr="00D963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Binnen EU/EER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Buiten EU/EER</w:t>
            </w:r>
          </w:p>
        </w:tc>
      </w:tr>
      <w:tr w:rsidR="00D9636B" w:rsidRPr="00D9636B" w:rsidTr="00D963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Uitstel van betaling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Onbeperkt (Invorderingswet art. 25 lid 7)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Maximaal 10 jaar</w:t>
            </w:r>
          </w:p>
        </w:tc>
      </w:tr>
      <w:tr w:rsidR="00D9636B" w:rsidRPr="00D9636B" w:rsidTr="00D963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Zekerheidsstelling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Niet vereist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Vaak verplicht (bankgarantie, hypotheekrecht)</w:t>
            </w:r>
          </w:p>
        </w:tc>
      </w:tr>
      <w:tr w:rsidR="00D9636B" w:rsidRPr="00D9636B" w:rsidTr="00D963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Invorderingsrente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Geen, zolang voorwaarden worden nageleefd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Wordt berekend bij intrekking</w:t>
            </w:r>
          </w:p>
        </w:tc>
      </w:tr>
      <w:tr w:rsidR="00D9636B" w:rsidRPr="00D9636B" w:rsidTr="00D963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Juridische bescherming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Vrijheid van vestiging (art. 49 VWEU)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Geen EU-bescherming</w:t>
            </w:r>
          </w:p>
        </w:tc>
      </w:tr>
      <w:tr w:rsidR="00D9636B" w:rsidRPr="00D9636B" w:rsidTr="00D963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Relevante rechtspraak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proofErr w:type="spellStart"/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HvJ</w:t>
            </w:r>
            <w:proofErr w:type="spellEnd"/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EU C-470/04 (N), HR 15-9-2017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Nationale rechtspraak (geen EU-toetsing)</w:t>
            </w:r>
          </w:p>
        </w:tc>
      </w:tr>
    </w:tbl>
    <w:p w:rsidR="00D9636B" w:rsidRPr="00D9636B" w:rsidRDefault="0030333A" w:rsidP="00D9636B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30333A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42" alt="" style="width:453.15pt;height:.05pt;mso-width-percent:0;mso-height-percent:0;mso-width-percent:0;mso-height-percent:0" o:hrpct="999" o:hralign="center" o:hrstd="t" o:hr="t" fillcolor="#a0a0a0" stroked="f"/>
        </w:pict>
      </w:r>
    </w:p>
    <w:p w:rsidR="00D9636B" w:rsidRPr="00D9636B" w:rsidRDefault="00D9636B" w:rsidP="00D963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6</w:t>
      </w:r>
      <w:r w:rsidRPr="00D9636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D963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Belangrijke jurisprudentie</w:t>
      </w:r>
    </w:p>
    <w:p w:rsidR="00D9636B" w:rsidRPr="00D9636B" w:rsidRDefault="00D9636B" w:rsidP="00D9636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D9636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l-NL"/>
          <w14:ligatures w14:val="none"/>
        </w:rPr>
        <w:t>📘</w:t>
      </w:r>
      <w:r w:rsidRPr="00D963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1. </w:t>
      </w:r>
      <w:proofErr w:type="spellStart"/>
      <w:r w:rsidRPr="00D963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HvJ</w:t>
      </w:r>
      <w:proofErr w:type="spellEnd"/>
      <w:r w:rsidRPr="00D963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EU, 7 september 2006, zaak C-470/04 (N)</w:t>
      </w:r>
    </w:p>
    <w:p w:rsidR="00D9636B" w:rsidRPr="00D9636B" w:rsidRDefault="00D9636B" w:rsidP="00D9636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Feiten: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Een Nederlands IB-ondernemer emigreerde binnen de EU. Nederland legde een conserverende aanslag op en eiste zekerheid.</w:t>
      </w:r>
    </w:p>
    <w:p w:rsidR="00D9636B" w:rsidRPr="00D9636B" w:rsidRDefault="00D9636B" w:rsidP="00D9636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Oordeel: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Het Hof oordeelde dat onmiddellijke invordering of zekerheidstelling in strijd is met de vrijheid van vestiging. Uitstel van betaling zonder zekerheid moet worden toegestaan.</w:t>
      </w:r>
    </w:p>
    <w:p w:rsidR="00D9636B" w:rsidRPr="00D9636B" w:rsidRDefault="00D9636B" w:rsidP="00D9636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Belang: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→ Grondslag voor </w:t>
      </w: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onbeperkt uitstel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binnen EU/EER.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→ Gaat ook op voor IB-ondernemers.</w:t>
      </w:r>
    </w:p>
    <w:p w:rsidR="00D9636B" w:rsidRPr="00D9636B" w:rsidRDefault="0030333A" w:rsidP="00D9636B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30333A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41" alt="" style="width:453.15pt;height:.05pt;mso-width-percent:0;mso-height-percent:0;mso-width-percent:0;mso-height-percent:0" o:hrpct="999" o:hralign="center" o:hrstd="t" o:hr="t" fillcolor="#a0a0a0" stroked="f"/>
        </w:pict>
      </w:r>
    </w:p>
    <w:p w:rsidR="00D9636B" w:rsidRPr="00D9636B" w:rsidRDefault="00D9636B" w:rsidP="00D9636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D9636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l-NL"/>
          <w14:ligatures w14:val="none"/>
        </w:rPr>
        <w:t>📘</w:t>
      </w:r>
      <w:r w:rsidRPr="00D963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2. Hoge Raad 15 september 2017, ECLI:NL:HR:2017:2360</w:t>
      </w:r>
    </w:p>
    <w:p w:rsidR="00D9636B" w:rsidRPr="00D9636B" w:rsidRDefault="00D9636B" w:rsidP="00D9636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Feiten: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Een ondernemer verhuisde naar een EU-land en kreeg een conserverende aanslag over stakingswinst. De Belastingdienst verlangde zekerheidstelling.</w:t>
      </w:r>
    </w:p>
    <w:p w:rsidR="00D9636B" w:rsidRPr="00D9636B" w:rsidRDefault="00D9636B" w:rsidP="00D9636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lastRenderedPageBreak/>
        <w:t>Oordeel: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De Hoge Raad bevestigde het EU-recht: Nederland mag </w:t>
      </w: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geen zekerheid eisen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bij emigratie binnen EU/EER.</w:t>
      </w:r>
    </w:p>
    <w:p w:rsidR="00D9636B" w:rsidRPr="00D9636B" w:rsidRDefault="00D9636B" w:rsidP="00D9636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Belang: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→ Versterkt de rechtsbescherming van IB-ondernemers binnen de EU.</w:t>
      </w:r>
    </w:p>
    <w:p w:rsidR="00D9636B" w:rsidRPr="00D9636B" w:rsidRDefault="0030333A" w:rsidP="00D9636B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30333A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40" alt="" style="width:453.15pt;height:.05pt;mso-width-percent:0;mso-height-percent:0;mso-width-percent:0;mso-height-percent:0" o:hrpct="999" o:hralign="center" o:hrstd="t" o:hr="t" fillcolor="#a0a0a0" stroked="f"/>
        </w:pict>
      </w:r>
    </w:p>
    <w:p w:rsidR="00D9636B" w:rsidRPr="00D9636B" w:rsidRDefault="00D9636B" w:rsidP="00D9636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D9636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l-NL"/>
          <w14:ligatures w14:val="none"/>
        </w:rPr>
        <w:t>📘</w:t>
      </w:r>
      <w:r w:rsidRPr="00D963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3. Hoge Raad 8 februari 2019, ECLI:NL:HR:2019:168</w:t>
      </w:r>
    </w:p>
    <w:p w:rsidR="00D9636B" w:rsidRPr="00D9636B" w:rsidRDefault="00D9636B" w:rsidP="00D9636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Feiten: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Een ondernemer met een eenmanszaak in Nederland verhuisde naar Duitsland. Hij claimde dat de onderneming feitelijk in Nederland bleef.</w:t>
      </w:r>
    </w:p>
    <w:p w:rsidR="00D9636B" w:rsidRPr="00D9636B" w:rsidRDefault="00D9636B" w:rsidP="00D9636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Oordeel: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De Hoge Raad oordeelde dat het gaat om </w:t>
      </w: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de plaats van de onderneming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, niet enkel om de woonplaats. Alleen als de onderneming volledig in Nederland blijft gevestigd, is geen emigratieheffing verschuldigd.</w:t>
      </w:r>
    </w:p>
    <w:p w:rsidR="00D9636B" w:rsidRPr="00D9636B" w:rsidRDefault="00D9636B" w:rsidP="00D9636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Belang: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→ Belangrijk onderscheid tussen </w:t>
      </w: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emigratie van persoon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en </w:t>
      </w: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verplaatsing van onderneming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:rsidR="00D9636B" w:rsidRPr="00D9636B" w:rsidRDefault="0030333A" w:rsidP="00D9636B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>
        <w:rPr>
          <w:noProof/>
        </w:rPr>
      </w:r>
      <w:r>
        <w:pict w14:anchorId="7D6DF008">
          <v:rect id="Horizontal Line 9" o:spid="_x0000_s1030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A13+9/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9636B" w:rsidRPr="00D9636B" w:rsidRDefault="00D9636B" w:rsidP="00D9636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D9636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l-NL"/>
          <w14:ligatures w14:val="none"/>
        </w:rPr>
        <w:t>📘</w:t>
      </w:r>
      <w:r w:rsidRPr="00D963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4. Hoge Raad 20 september 2024, ECLI:NL:HR:2024:1243</w:t>
      </w:r>
    </w:p>
    <w:p w:rsidR="00D9636B" w:rsidRPr="00D9636B" w:rsidRDefault="00D9636B" w:rsidP="00D9636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Feiten: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Zie eerdere samenvatting — remigratie en conserverende aanslag.</w:t>
      </w:r>
    </w:p>
    <w:p w:rsidR="00D9636B" w:rsidRPr="00D9636B" w:rsidRDefault="00D9636B" w:rsidP="00D9636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Oordeel &amp; belang: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→ Laat zien hoe de verkrijgingsprijs bij remigratie wordt vastgesteld; relevant ook voor terugkeer van ondernemers met aandelen.</w:t>
      </w:r>
    </w:p>
    <w:p w:rsidR="00D9636B" w:rsidRPr="00D9636B" w:rsidRDefault="0030333A" w:rsidP="00D9636B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>
        <w:rPr>
          <w:noProof/>
        </w:rPr>
      </w:r>
      <w:r>
        <w:pict w14:anchorId="5C83CE7F">
          <v:rect id="Horizontal Line 10" o:spid="_x0000_s1029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A13+9/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9636B" w:rsidRPr="00D9636B" w:rsidRDefault="00D9636B" w:rsidP="00D9636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D9636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l-NL"/>
          <w14:ligatures w14:val="none"/>
        </w:rPr>
        <w:t>📘</w:t>
      </w:r>
      <w:r w:rsidRPr="00D963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5. Gerechtshof Den Haag 19 oktober 2022, ECLI:</w:t>
      </w:r>
      <w:proofErr w:type="gramStart"/>
      <w:r w:rsidRPr="00D963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NL:GHDHA</w:t>
      </w:r>
      <w:proofErr w:type="gramEnd"/>
      <w:r w:rsidRPr="00D963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:2022:2201</w:t>
      </w:r>
    </w:p>
    <w:p w:rsidR="00D9636B" w:rsidRPr="00D9636B" w:rsidRDefault="00D9636B" w:rsidP="00D9636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Feiten: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Een IB-ondernemer verplaatste zijn onderneming naar België.</w:t>
      </w:r>
    </w:p>
    <w:p w:rsidR="00D9636B" w:rsidRPr="00D9636B" w:rsidRDefault="00D9636B" w:rsidP="00D9636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Oordeel: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Het hof oordeelde dat Nederland terecht een conserverende aanslag had opgelegd over de stille reserves, maar dat uitstel moest worden verleend conform EU-recht.</w:t>
      </w:r>
    </w:p>
    <w:p w:rsidR="00D9636B" w:rsidRPr="00D9636B" w:rsidRDefault="00D9636B" w:rsidP="00D9636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Belang: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→ Toepassing van het </w:t>
      </w:r>
      <w:r w:rsidRPr="00D9636B">
        <w:rPr>
          <w:rFonts w:ascii="Times New Roman" w:eastAsia="Times New Roman" w:hAnsi="Times New Roman" w:cs="Times New Roman"/>
          <w:i/>
          <w:iCs/>
          <w:kern w:val="0"/>
          <w:lang w:eastAsia="nl-NL"/>
          <w14:ligatures w14:val="none"/>
        </w:rPr>
        <w:t>N-arrest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op concrete IB-ondernemerssituaties.</w:t>
      </w:r>
    </w:p>
    <w:p w:rsidR="00D9636B" w:rsidRPr="00D9636B" w:rsidRDefault="0030333A" w:rsidP="00D9636B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>
        <w:rPr>
          <w:noProof/>
        </w:rPr>
      </w:r>
      <w:r>
        <w:pict w14:anchorId="5A60A953">
          <v:rect id="Horizontal Line 11" o:spid="_x0000_s1028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A13+9/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9636B" w:rsidRPr="00D9636B" w:rsidRDefault="00D9636B" w:rsidP="00D963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lastRenderedPageBreak/>
        <w:t>7</w:t>
      </w:r>
      <w:r w:rsidRPr="00D9636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D963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Samenvatting voor AI-model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3144"/>
        <w:gridCol w:w="2145"/>
        <w:gridCol w:w="1891"/>
      </w:tblGrid>
      <w:tr w:rsidR="00D9636B" w:rsidRPr="00D9636B" w:rsidTr="00D963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Thema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Uitleg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Juridische basis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Relevante jurisprudentie</w:t>
            </w:r>
          </w:p>
        </w:tc>
      </w:tr>
      <w:tr w:rsidR="00D9636B" w:rsidRPr="00D9636B" w:rsidTr="00D963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Emigratie ondernemer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Verhuizing naar buitenland beëindigt binnenlandse belastingplicht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Art. 2.1, 2.2, 3.54 Wet IB 2001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–</w:t>
            </w:r>
          </w:p>
        </w:tc>
      </w:tr>
      <w:tr w:rsidR="00D9636B" w:rsidRPr="00D9636B" w:rsidTr="00D963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Fictieve staking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Alle stille reserves en goodwill worden belast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Art. 3.54, 3.61 Wet IB 2001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–</w:t>
            </w:r>
          </w:p>
        </w:tc>
      </w:tr>
      <w:tr w:rsidR="00D9636B" w:rsidRPr="00D9636B" w:rsidTr="00D963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Conserverende aanslag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Uitgesteld invorderbare aanslag over stakingswinst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Art. 25–27 Invorderingswet 1990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HR 2017:2360</w:t>
            </w:r>
          </w:p>
        </w:tc>
      </w:tr>
      <w:tr w:rsidR="00D9636B" w:rsidRPr="00D9636B" w:rsidTr="00D963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Uitstel binnen EU/EER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Onbeperkt, geen zekerheid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Invorderingswet art. 25 lid 7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proofErr w:type="spellStart"/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HvJ</w:t>
            </w:r>
            <w:proofErr w:type="spellEnd"/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EU C-470/04 (N)</w:t>
            </w:r>
          </w:p>
        </w:tc>
      </w:tr>
      <w:tr w:rsidR="00D9636B" w:rsidRPr="00D9636B" w:rsidTr="00D963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Uitstel buiten EU/EER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Beperkt (10 jaar), zekerheid vereist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Invorderingswet art. 26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–</w:t>
            </w:r>
          </w:p>
        </w:tc>
      </w:tr>
      <w:tr w:rsidR="00D9636B" w:rsidRPr="00D9636B" w:rsidTr="00D963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Remigratie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Verhoogde verkrijgingsprijs bij terugkeer mogelijk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HR 2024:1243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–</w:t>
            </w:r>
          </w:p>
        </w:tc>
      </w:tr>
      <w:tr w:rsidR="00D9636B" w:rsidRPr="00D9636B" w:rsidTr="00D963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Plaats onderneming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Alleen bij verplaatsing onderneming zelf volgt staking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HR 2019:168</w:t>
            </w:r>
          </w:p>
        </w:tc>
        <w:tc>
          <w:tcPr>
            <w:tcW w:w="0" w:type="auto"/>
            <w:vAlign w:val="center"/>
            <w:hideMark/>
          </w:tcPr>
          <w:p w:rsidR="00D9636B" w:rsidRPr="00D9636B" w:rsidRDefault="00D9636B" w:rsidP="00D9636B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D9636B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–</w:t>
            </w:r>
          </w:p>
        </w:tc>
      </w:tr>
    </w:tbl>
    <w:p w:rsidR="00D9636B" w:rsidRPr="00D9636B" w:rsidRDefault="0030333A" w:rsidP="00D9636B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>
        <w:rPr>
          <w:noProof/>
        </w:rPr>
      </w:r>
      <w:r>
        <w:pict w14:anchorId="090DE7D9">
          <v:rect id="Horizontal Line 12" o:spid="_x0000_s1027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A13+9/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9636B" w:rsidRPr="00D9636B" w:rsidRDefault="00D9636B" w:rsidP="00D963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D9636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🔍</w:t>
      </w:r>
      <w:r w:rsidRPr="00D963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Conclusie</w:t>
      </w:r>
    </w:p>
    <w:p w:rsidR="00D9636B" w:rsidRPr="00D9636B" w:rsidRDefault="00D9636B" w:rsidP="00D9636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Bij emigratie van een ondernemer met een IB-onderneming:</w:t>
      </w:r>
    </w:p>
    <w:p w:rsidR="00D9636B" w:rsidRPr="00D9636B" w:rsidRDefault="00D9636B" w:rsidP="00D9636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Wordt een </w:t>
      </w: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fictieve stakingswinst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berekend (Wet IB 2001, art. 3.54 e.v.).</w:t>
      </w:r>
    </w:p>
    <w:p w:rsidR="00D9636B" w:rsidRPr="00D9636B" w:rsidRDefault="00D9636B" w:rsidP="00D9636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Nederland mag </w:t>
      </w: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belasten over de waardestijging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die in Nederland is ontstaan.</w:t>
      </w:r>
    </w:p>
    <w:p w:rsidR="00D9636B" w:rsidRPr="00D9636B" w:rsidRDefault="00D9636B" w:rsidP="00D9636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Een </w:t>
      </w: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conserverende aanslag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wordt opgelegd, maar met </w:t>
      </w: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uitstel van betaling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om EU-rechten te waarborgen.</w:t>
      </w:r>
    </w:p>
    <w:p w:rsidR="00D9636B" w:rsidRPr="00D9636B" w:rsidRDefault="00D9636B" w:rsidP="00D9636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Binnen de EU is dit uitstel onbeperkt en zonder zekerheid; buiten de EU geldt een strengere invordering.</w:t>
      </w:r>
    </w:p>
    <w:p w:rsidR="00D9636B" w:rsidRPr="00D9636B" w:rsidRDefault="00D9636B" w:rsidP="00D9636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De </w:t>
      </w: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jurisprudentie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</w:t>
      </w:r>
      <w:proofErr w:type="spellStart"/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HvJ</w:t>
      </w:r>
      <w:proofErr w:type="spellEnd"/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EU C-470/04 (N), HR 2017, HR 2019) zorgt ervoor dat Nederland in overeenstemming met het EU-recht handelt.</w:t>
      </w:r>
    </w:p>
    <w:p w:rsidR="00D9636B" w:rsidRPr="00D9636B" w:rsidRDefault="0030333A" w:rsidP="00D9636B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>
        <w:rPr>
          <w:noProof/>
        </w:rPr>
      </w:r>
      <w:r>
        <w:pict w14:anchorId="0C4D6FDB">
          <v:rect id="Horizontal Line 13" o:spid="_x0000_s1026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A13+9/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9636B" w:rsidRPr="00D9636B" w:rsidRDefault="00D9636B" w:rsidP="00D9636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Wil je dat ik dit verder omzet in een </w:t>
      </w:r>
      <w:r w:rsidRPr="00D9636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visuele tijdlijn of schema</w:t>
      </w:r>
      <w:r w:rsidRPr="00D9636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(bijv. “van vertrek → aanslag → uitstel → intrekking → remigratie”) voor de trainingsdataset? Dat maakt het model sneller in staat om de chronologie van fiscale gevolgen te begrijpen.</w:t>
      </w:r>
    </w:p>
    <w:p w:rsidR="00D9636B" w:rsidRDefault="00923CD4">
      <w:proofErr w:type="spellStart"/>
      <w:r>
        <w:t>Jurusorudentie</w:t>
      </w:r>
      <w:proofErr w:type="spellEnd"/>
    </w:p>
    <w:p w:rsidR="00923CD4" w:rsidRPr="00923CD4" w:rsidRDefault="00923CD4" w:rsidP="00923C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Perfect — laten we dit stap voor stap doen.</w:t>
      </w: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Hieronder vind je eerst een </w:t>
      </w: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visuele tijdlijn</w:t>
      </w: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van de fiscale gevolgen bij emigratie van een ondernemer in de inkomstenbelasting (in tekstvorm, geschikt voor trainingsdata).</w:t>
      </w: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</w: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lastRenderedPageBreak/>
        <w:t xml:space="preserve">Daarna volgt een </w:t>
      </w: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uitgebreide juridische samenvatting</w:t>
      </w: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van de belangrijkste arresten die de conserverende aanslag en emigratieheffing hebben gevormd.</w:t>
      </w:r>
    </w:p>
    <w:p w:rsidR="00923CD4" w:rsidRPr="00923CD4" w:rsidRDefault="0030333A" w:rsidP="00923CD4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30333A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34" alt="" style="width:453.15pt;height:.05pt;mso-width-percent:0;mso-height-percent:0;mso-width-percent:0;mso-height-percent:0" o:hrpct="999" o:hralign="center" o:hrstd="t" o:hr="t" fillcolor="#a0a0a0" stroked="f"/>
        </w:pict>
      </w:r>
    </w:p>
    <w:p w:rsidR="00923CD4" w:rsidRPr="00923CD4" w:rsidRDefault="00923CD4" w:rsidP="00923CD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923CD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🧭</w:t>
      </w:r>
      <w:r w:rsidRPr="00923C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Tijdlijn: Emigratie van een IB-ondernemer en de conserverende aanslag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┌────────────────────────────┐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proofErr w:type="gramStart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│  1</w:t>
      </w:r>
      <w:proofErr w:type="gramEnd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. Voor emigratie         │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proofErr w:type="gramStart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│  -</w:t>
      </w:r>
      <w:proofErr w:type="gramEnd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 Ondernemer is binnenlands belastingplichtig   │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proofErr w:type="gramStart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│  -</w:t>
      </w:r>
      <w:proofErr w:type="gramEnd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 Winst uit onderneming belast in NL            │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└────────────────────────────┘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                │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                ▼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┌────────────────────────────┐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proofErr w:type="gramStart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│  2</w:t>
      </w:r>
      <w:proofErr w:type="gramEnd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. Emigratie              │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proofErr w:type="gramStart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│  -</w:t>
      </w:r>
      <w:proofErr w:type="gramEnd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 Fiscale woonplaats naar buitenland             │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proofErr w:type="gramStart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│  -</w:t>
      </w:r>
      <w:proofErr w:type="gramEnd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 NL verliest wereldwijde heffingsbevoegdheid   │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└────────────────────────────┘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                │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                ▼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┌────────────────────────────┐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proofErr w:type="gramStart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│  3</w:t>
      </w:r>
      <w:proofErr w:type="gramEnd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. Fictieve staking       │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proofErr w:type="gramStart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│  -</w:t>
      </w:r>
      <w:proofErr w:type="gramEnd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 Onderneming wordt geacht te zijn gestaakt     │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proofErr w:type="gramStart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│  -</w:t>
      </w:r>
      <w:proofErr w:type="gramEnd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 Alle stille reserves, goodwill en HIR belast  │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proofErr w:type="gramStart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│  -</w:t>
      </w:r>
      <w:proofErr w:type="gramEnd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 Stakingswinst vastgesteld (art. 3.54 IB 2001) │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└────────────────────────────┘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                │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                ▼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┌────────────────────────────┐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proofErr w:type="gramStart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│  4</w:t>
      </w:r>
      <w:proofErr w:type="gramEnd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. Conserverende </w:t>
      </w:r>
      <w:proofErr w:type="gramStart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aanslag  │</w:t>
      </w:r>
      <w:proofErr w:type="gramEnd"/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proofErr w:type="gramStart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│  -</w:t>
      </w:r>
      <w:proofErr w:type="gramEnd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 Belastingdienst legt aanslag op over stakingswinst │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proofErr w:type="gramStart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│  -</w:t>
      </w:r>
      <w:proofErr w:type="gramEnd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 Invordering wordt uitgesteld (art. 25 IW 1990)     │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proofErr w:type="gramStart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│  -</w:t>
      </w:r>
      <w:proofErr w:type="gramEnd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 Binnen EU/EER: onbeperkt uitstel zonder zekerheid  │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proofErr w:type="gramStart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│  -</w:t>
      </w:r>
      <w:proofErr w:type="gramEnd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 Buiten EU/EER: 10 jaar uitstel met zekerheid       │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└────────────────────────────┘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                │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                ▼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┌────────────────────────────┐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proofErr w:type="gramStart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│  5</w:t>
      </w:r>
      <w:proofErr w:type="gramEnd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. </w:t>
      </w:r>
      <w:proofErr w:type="spellStart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Toezichtsfase</w:t>
      </w:r>
      <w:proofErr w:type="spellEnd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          │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proofErr w:type="gramStart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│  -</w:t>
      </w:r>
      <w:proofErr w:type="gramEnd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 Jaarlijkse controle: is onderneming verkocht?     │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proofErr w:type="gramStart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│  -</w:t>
      </w:r>
      <w:proofErr w:type="gramEnd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 Bij verkoop of dividend → uitstel vervalt         │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└────────────────────────────┘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                │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                ▼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┌────────────────────────────┐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proofErr w:type="gramStart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│  6</w:t>
      </w:r>
      <w:proofErr w:type="gramEnd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. Remigratie             │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proofErr w:type="gramStart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│  -</w:t>
      </w:r>
      <w:proofErr w:type="gramEnd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 Ondernemer keert terug naar NL                  │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proofErr w:type="gramStart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│  -</w:t>
      </w:r>
      <w:proofErr w:type="gramEnd"/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 Verkrijgingsprijs kan worden verhoogd met reeds  │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│    belaste waarde (HR 20-09-2024, ECLI:NL:HR:2024:1243) │</w:t>
      </w:r>
    </w:p>
    <w:p w:rsidR="00923CD4" w:rsidRPr="00923CD4" w:rsidRDefault="00923CD4" w:rsidP="0092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923CD4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└────────────────────────────┘</w:t>
      </w:r>
    </w:p>
    <w:p w:rsidR="00923CD4" w:rsidRPr="00923CD4" w:rsidRDefault="0030333A" w:rsidP="00923CD4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30333A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33" alt="" style="width:453.15pt;height:.05pt;mso-width-percent:0;mso-height-percent:0;mso-width-percent:0;mso-height-percent:0" o:hrpct="999" o:hralign="center" o:hrstd="t" o:hr="t" fillcolor="#a0a0a0" stroked="f"/>
        </w:pict>
      </w:r>
    </w:p>
    <w:p w:rsidR="00923CD4" w:rsidRPr="00923CD4" w:rsidRDefault="00923CD4" w:rsidP="00923CD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923CD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⚖️</w:t>
      </w:r>
      <w:r w:rsidRPr="00923C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Uitgebreide samenvattingen van de belangrijkste jurisprudentie</w:t>
      </w:r>
    </w:p>
    <w:p w:rsidR="00923CD4" w:rsidRPr="00923CD4" w:rsidRDefault="00923CD4" w:rsidP="00923C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lastRenderedPageBreak/>
        <w:t>Hieronder staan de kernarresten die het juridische kader vormen voor emigratie van ondernemers en conserverende aanslagen.</w:t>
      </w: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De samenvattingen zijn gedetailleerd en toegespitst op de leerpunten die relevant zijn voor AI-modellering van fiscaal gedrag.</w:t>
      </w:r>
    </w:p>
    <w:p w:rsidR="00923CD4" w:rsidRPr="00923CD4" w:rsidRDefault="0030333A" w:rsidP="00923CD4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30333A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32" alt="" style="width:453.15pt;height:.05pt;mso-width-percent:0;mso-height-percent:0;mso-width-percent:0;mso-height-percent:0" o:hrpct="999" o:hralign="center" o:hrstd="t" o:hr="t" fillcolor="#a0a0a0" stroked="f"/>
        </w:pict>
      </w:r>
    </w:p>
    <w:p w:rsidR="00923CD4" w:rsidRPr="00923CD4" w:rsidRDefault="00923CD4" w:rsidP="00923C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923CD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l-NL"/>
          <w14:ligatures w14:val="none"/>
        </w:rPr>
        <w:t>🧾</w:t>
      </w:r>
      <w:r w:rsidRPr="00923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1. </w:t>
      </w:r>
      <w:proofErr w:type="spellStart"/>
      <w:r w:rsidRPr="00923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HvJ</w:t>
      </w:r>
      <w:proofErr w:type="spellEnd"/>
      <w:r w:rsidRPr="00923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EU, zaak C-470/04 (N), 7 september 2006</w:t>
      </w:r>
    </w:p>
    <w:p w:rsidR="00923CD4" w:rsidRPr="00923CD4" w:rsidRDefault="00923CD4" w:rsidP="00923C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Feiten:</w:t>
      </w:r>
    </w:p>
    <w:p w:rsidR="00923CD4" w:rsidRPr="00923CD4" w:rsidRDefault="00923CD4" w:rsidP="00923CD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Een Nederlandse DGA met aandelen in een Nederlandse BV verhuisde naar het Verenigd Koninkrijk.</w:t>
      </w:r>
    </w:p>
    <w:p w:rsidR="00923CD4" w:rsidRPr="00923CD4" w:rsidRDefault="00923CD4" w:rsidP="00923CD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Nederland legde bij emigratie een conserverende aanslag op over de waardestijging van zijn aandelen.</w:t>
      </w:r>
    </w:p>
    <w:p w:rsidR="00923CD4" w:rsidRPr="00923CD4" w:rsidRDefault="00923CD4" w:rsidP="00923CD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Uitstel van betaling werd alleen verleend als hij zekerheid stelde.</w:t>
      </w:r>
    </w:p>
    <w:p w:rsidR="00923CD4" w:rsidRPr="00923CD4" w:rsidRDefault="00923CD4" w:rsidP="00923C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Rechtsvraag:</w:t>
      </w: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Is het eisen van directe betaling of zekerheidstelling bij emigratie in strijd met de </w:t>
      </w: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vrijheid van vestiging</w:t>
      </w: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(art. 49 VWEU)?</w:t>
      </w:r>
    </w:p>
    <w:p w:rsidR="00923CD4" w:rsidRPr="00923CD4" w:rsidRDefault="00923CD4" w:rsidP="00923C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Overwegingen:</w:t>
      </w:r>
    </w:p>
    <w:p w:rsidR="00923CD4" w:rsidRPr="00923CD4" w:rsidRDefault="00923CD4" w:rsidP="00923CD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De </w:t>
      </w:r>
      <w:proofErr w:type="spellStart"/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exitheffing</w:t>
      </w:r>
      <w:proofErr w:type="spellEnd"/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is een beperking van de vrijheid van vestiging.</w:t>
      </w:r>
    </w:p>
    <w:p w:rsidR="00923CD4" w:rsidRPr="00923CD4" w:rsidRDefault="00923CD4" w:rsidP="00923CD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Nederland mag zo’n heffing wel opleggen om te voorkomen dat belastinggrondslag verdwijnt, </w:t>
      </w: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mits</w:t>
      </w: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het systeem proportioneel is.</w:t>
      </w:r>
    </w:p>
    <w:p w:rsidR="00923CD4" w:rsidRPr="00923CD4" w:rsidRDefault="00923CD4" w:rsidP="00923CD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Verplichte zekerheidstelling</w:t>
      </w: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is echter te zwaar en vormt een ongerechtvaardigde belemmering.</w:t>
      </w:r>
    </w:p>
    <w:p w:rsidR="00923CD4" w:rsidRPr="00923CD4" w:rsidRDefault="00923CD4" w:rsidP="00923C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Uitspraak:</w:t>
      </w: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De conserverende aanslag is toegestaan, </w:t>
      </w: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maar</w:t>
      </w: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de invordering moet worden uitgesteld zonder zekerheid zolang de persoon binnen de EU blijft en de aandelen niet verkoopt.</w:t>
      </w:r>
    </w:p>
    <w:p w:rsidR="00923CD4" w:rsidRPr="00923CD4" w:rsidRDefault="00923CD4" w:rsidP="00923C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Belang:</w:t>
      </w:r>
    </w:p>
    <w:p w:rsidR="00923CD4" w:rsidRPr="00923CD4" w:rsidRDefault="00923CD4" w:rsidP="00923CD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Grondslag voor het huidige systeem van </w:t>
      </w: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onbeperkt uitstel binnen EU/EER</w:t>
      </w: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:rsidR="00923CD4" w:rsidRPr="00923CD4" w:rsidRDefault="00923CD4" w:rsidP="00923CD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Dwingt Nederland tot aanpassing van art. 25 Invorderingswet 1990.</w:t>
      </w:r>
    </w:p>
    <w:p w:rsidR="00923CD4" w:rsidRPr="00923CD4" w:rsidRDefault="00923CD4" w:rsidP="00923CD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Geldt zowel voor </w:t>
      </w:r>
      <w:proofErr w:type="gramStart"/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aanmerkelijk belanghouders</w:t>
      </w:r>
      <w:proofErr w:type="gramEnd"/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als IB-ondernemers die hun onderneming verplaatsen.</w:t>
      </w:r>
    </w:p>
    <w:p w:rsidR="00923CD4" w:rsidRPr="00923CD4" w:rsidRDefault="0030333A" w:rsidP="00923CD4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30333A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31" alt="" style="width:453.15pt;height:.05pt;mso-width-percent:0;mso-height-percent:0;mso-width-percent:0;mso-height-percent:0" o:hrpct="999" o:hralign="center" o:hrstd="t" o:hr="t" fillcolor="#a0a0a0" stroked="f"/>
        </w:pict>
      </w:r>
    </w:p>
    <w:p w:rsidR="00923CD4" w:rsidRPr="00923CD4" w:rsidRDefault="00923CD4" w:rsidP="00923C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923CD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l-NL"/>
          <w14:ligatures w14:val="none"/>
        </w:rPr>
        <w:t>🧾</w:t>
      </w:r>
      <w:r w:rsidRPr="00923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2. Hoge Raad 15 september 2017, ECLI:NL:HR:2017:2360</w:t>
      </w:r>
    </w:p>
    <w:p w:rsidR="00923CD4" w:rsidRPr="00923CD4" w:rsidRDefault="00923CD4" w:rsidP="00923C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Feiten:</w:t>
      </w:r>
    </w:p>
    <w:p w:rsidR="00923CD4" w:rsidRPr="00923CD4" w:rsidRDefault="00923CD4" w:rsidP="00923CD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Een Nederlandse belastingplichtige met een onderneming verhuisde naar België.</w:t>
      </w:r>
    </w:p>
    <w:p w:rsidR="00923CD4" w:rsidRPr="00923CD4" w:rsidRDefault="00923CD4" w:rsidP="00923CD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Hij kreeg een conserverende aanslag en vroeg uitstel.</w:t>
      </w:r>
    </w:p>
    <w:p w:rsidR="00923CD4" w:rsidRPr="00923CD4" w:rsidRDefault="00923CD4" w:rsidP="00923CD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 Belastingdienst eiste zekerheidstelling (bankgarantie).</w:t>
      </w:r>
    </w:p>
    <w:p w:rsidR="00923CD4" w:rsidRPr="00923CD4" w:rsidRDefault="00923CD4" w:rsidP="00923C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lastRenderedPageBreak/>
        <w:t>Rechtsvraag:</w:t>
      </w: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Mag Nederland zekerheid eisen bij emigratie binnen de EU/EER, ondanks het arrest N (C-470/04)?</w:t>
      </w:r>
    </w:p>
    <w:p w:rsidR="00923CD4" w:rsidRPr="00923CD4" w:rsidRDefault="00923CD4" w:rsidP="00923C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Overwegingen:</w:t>
      </w:r>
    </w:p>
    <w:p w:rsidR="00923CD4" w:rsidRPr="00923CD4" w:rsidRDefault="00923CD4" w:rsidP="00923CD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 Hoge Raad bevestigde dat art. 49 VWEU rechtstreeks werking heeft.</w:t>
      </w:r>
    </w:p>
    <w:p w:rsidR="00923CD4" w:rsidRPr="00923CD4" w:rsidRDefault="00923CD4" w:rsidP="00923CD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Zekerheidsstelling belemmert de vrijheid van vestiging.</w:t>
      </w:r>
    </w:p>
    <w:p w:rsidR="00923CD4" w:rsidRPr="00923CD4" w:rsidRDefault="00923CD4" w:rsidP="00923CD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Alleen bij bijzondere omstandigheden (bijv. fraude of betalingsrisico) kan zekerheid worden gevraagd.</w:t>
      </w:r>
    </w:p>
    <w:p w:rsidR="00923CD4" w:rsidRPr="00923CD4" w:rsidRDefault="00923CD4" w:rsidP="00923C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Uitspraak:</w:t>
      </w: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De Belastingdienst mocht geen zekerheid eisen; het uitstel moet </w:t>
      </w: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onbeperkt</w:t>
      </w: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worden verleend.</w:t>
      </w:r>
    </w:p>
    <w:p w:rsidR="00923CD4" w:rsidRPr="00923CD4" w:rsidRDefault="00923CD4" w:rsidP="00923C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Belang:</w:t>
      </w:r>
    </w:p>
    <w:p w:rsidR="00923CD4" w:rsidRPr="00923CD4" w:rsidRDefault="00923CD4" w:rsidP="00923CD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Versterkt EU-rechtelijke bescherming.</w:t>
      </w:r>
    </w:p>
    <w:p w:rsidR="00923CD4" w:rsidRPr="00923CD4" w:rsidRDefault="00923CD4" w:rsidP="00923CD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Geeft duidelijke richtlijn voor toepassing van art. 25 Invorderingswet 1990.</w:t>
      </w:r>
    </w:p>
    <w:p w:rsidR="00923CD4" w:rsidRPr="00923CD4" w:rsidRDefault="00923CD4" w:rsidP="00923CD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Relevantie: IB-ondernemers binnen EU hebben recht op soepel uitstel.</w:t>
      </w:r>
    </w:p>
    <w:p w:rsidR="00923CD4" w:rsidRPr="00923CD4" w:rsidRDefault="0030333A" w:rsidP="00923CD4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30333A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30" alt="" style="width:453.15pt;height:.05pt;mso-width-percent:0;mso-height-percent:0;mso-width-percent:0;mso-height-percent:0" o:hrpct="999" o:hralign="center" o:hrstd="t" o:hr="t" fillcolor="#a0a0a0" stroked="f"/>
        </w:pict>
      </w:r>
    </w:p>
    <w:p w:rsidR="00923CD4" w:rsidRPr="00923CD4" w:rsidRDefault="00923CD4" w:rsidP="00923C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923CD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l-NL"/>
          <w14:ligatures w14:val="none"/>
        </w:rPr>
        <w:t>🧾</w:t>
      </w:r>
      <w:r w:rsidRPr="00923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3. Hoge Raad 8 februari 2019, ECLI:NL:HR:2019:168</w:t>
      </w:r>
    </w:p>
    <w:p w:rsidR="00923CD4" w:rsidRPr="00923CD4" w:rsidRDefault="00923CD4" w:rsidP="00923C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Feiten:</w:t>
      </w:r>
    </w:p>
    <w:p w:rsidR="00923CD4" w:rsidRPr="00923CD4" w:rsidRDefault="00923CD4" w:rsidP="00923CD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Een Nederlandse IB-ondernemer verplaatste zijn woonplaats naar Duitsland.</w:t>
      </w:r>
    </w:p>
    <w:p w:rsidR="00923CD4" w:rsidRPr="00923CD4" w:rsidRDefault="00923CD4" w:rsidP="00923CD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 onderneming bleef feitelijk in Nederland opereren.</w:t>
      </w:r>
    </w:p>
    <w:p w:rsidR="00923CD4" w:rsidRPr="00923CD4" w:rsidRDefault="00923CD4" w:rsidP="00923CD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 Belastingdienst legde een stakingswinstaanslag op.</w:t>
      </w:r>
    </w:p>
    <w:p w:rsidR="00923CD4" w:rsidRPr="00923CD4" w:rsidRDefault="00923CD4" w:rsidP="00923C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Rechtsvraag:</w:t>
      </w: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Moet bij emigratie altijd worden aangenomen dat de onderneming is gestaakt?</w:t>
      </w:r>
    </w:p>
    <w:p w:rsidR="00923CD4" w:rsidRPr="00923CD4" w:rsidRDefault="00923CD4" w:rsidP="00923C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Overwegingen:</w:t>
      </w:r>
    </w:p>
    <w:p w:rsidR="00923CD4" w:rsidRPr="00923CD4" w:rsidRDefault="00923CD4" w:rsidP="00923CD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Fiscale staking treedt alleen op als de onderneming </w:t>
      </w: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feitelijk meeverhuist</w:t>
      </w: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:rsidR="00923CD4" w:rsidRPr="00923CD4" w:rsidRDefault="00923CD4" w:rsidP="00923CD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Als de onderneming in Nederland blijft (productiemiddelen, klanten, personeel), blijft Nederland heffingsbevoegd.</w:t>
      </w:r>
    </w:p>
    <w:p w:rsidR="00923CD4" w:rsidRPr="00923CD4" w:rsidRDefault="00923CD4" w:rsidP="00923CD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Alleen de woonplaats van de ondernemer verandert, niet de fiscale vestigingsplaats van de onderneming.</w:t>
      </w:r>
    </w:p>
    <w:p w:rsidR="00923CD4" w:rsidRPr="00923CD4" w:rsidRDefault="00923CD4" w:rsidP="00923C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Uitspraak:</w:t>
      </w: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Geen emigratieheffing: de onderneming bleef in Nederland gevestigd.</w:t>
      </w:r>
    </w:p>
    <w:p w:rsidR="00923CD4" w:rsidRPr="00923CD4" w:rsidRDefault="00923CD4" w:rsidP="00923C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Belang:</w:t>
      </w:r>
    </w:p>
    <w:p w:rsidR="00923CD4" w:rsidRPr="00923CD4" w:rsidRDefault="00923CD4" w:rsidP="00923CD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Onderscheid tussen </w:t>
      </w: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persoonlijke emigratie</w:t>
      </w: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en </w:t>
      </w: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ondernemings-emigratie</w:t>
      </w: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:rsidR="00923CD4" w:rsidRPr="00923CD4" w:rsidRDefault="00923CD4" w:rsidP="00923CD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Voorkomt dubbele heffing of onnodige </w:t>
      </w:r>
      <w:proofErr w:type="spellStart"/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exitbelasting</w:t>
      </w:r>
      <w:proofErr w:type="spellEnd"/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:rsidR="00923CD4" w:rsidRPr="00923CD4" w:rsidRDefault="00923CD4" w:rsidP="00923CD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Essentieel voor AI-training over feitelijke plaats onderneming (</w:t>
      </w:r>
      <w:proofErr w:type="spellStart"/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substance</w:t>
      </w:r>
      <w:proofErr w:type="spellEnd"/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-criterium).</w:t>
      </w:r>
    </w:p>
    <w:p w:rsidR="00923CD4" w:rsidRPr="00923CD4" w:rsidRDefault="0030333A" w:rsidP="00923CD4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30333A">
        <w:rPr>
          <w:rFonts w:ascii="Times New Roman" w:eastAsia="Times New Roman" w:hAnsi="Times New Roman" w:cs="Times New Roman"/>
          <w:noProof/>
          <w:kern w:val="0"/>
          <w:lang w:eastAsia="nl-NL"/>
        </w:rPr>
        <w:lastRenderedPageBreak/>
        <w:pict>
          <v:rect id="_x0000_i1029" alt="" style="width:453.15pt;height:.05pt;mso-width-percent:0;mso-height-percent:0;mso-width-percent:0;mso-height-percent:0" o:hrpct="999" o:hralign="center" o:hrstd="t" o:hr="t" fillcolor="#a0a0a0" stroked="f"/>
        </w:pict>
      </w:r>
    </w:p>
    <w:p w:rsidR="00923CD4" w:rsidRPr="00923CD4" w:rsidRDefault="00923CD4" w:rsidP="00923C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923CD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l-NL"/>
          <w14:ligatures w14:val="none"/>
        </w:rPr>
        <w:t>🧾</w:t>
      </w:r>
      <w:r w:rsidRPr="00923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4. Hoge Raad 20 september 2024, ECLI:NL:HR:2024:1243</w:t>
      </w:r>
    </w:p>
    <w:p w:rsidR="00923CD4" w:rsidRPr="00923CD4" w:rsidRDefault="00923CD4" w:rsidP="00923C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Feiten:</w:t>
      </w:r>
    </w:p>
    <w:p w:rsidR="00923CD4" w:rsidRPr="00923CD4" w:rsidRDefault="00923CD4" w:rsidP="00923CD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Belanghebbende had aandelen in een Nederlandse BV en emigreerde naar het VK en later België.</w:t>
      </w:r>
    </w:p>
    <w:p w:rsidR="00923CD4" w:rsidRPr="00923CD4" w:rsidRDefault="00923CD4" w:rsidP="00923CD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Nederland legde bij vertrek een conserverende aanslag op.</w:t>
      </w:r>
    </w:p>
    <w:p w:rsidR="00923CD4" w:rsidRPr="00923CD4" w:rsidRDefault="00923CD4" w:rsidP="00923CD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Bij remigratie in 2017 ontstond discussie over de verkrijgingsprijs van de aandelen.</w:t>
      </w:r>
    </w:p>
    <w:p w:rsidR="00923CD4" w:rsidRPr="00923CD4" w:rsidRDefault="00923CD4" w:rsidP="00923C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Rechtsvraag:</w:t>
      </w: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Hoe wordt de </w:t>
      </w: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verkrijgingsprijs</w:t>
      </w: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van aandelen vastgesteld bij remigratie na een conserverende aanslag?</w:t>
      </w:r>
    </w:p>
    <w:p w:rsidR="00923CD4" w:rsidRPr="00923CD4" w:rsidRDefault="00923CD4" w:rsidP="00923C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Overwegingen:</w:t>
      </w:r>
    </w:p>
    <w:p w:rsidR="00923CD4" w:rsidRPr="00923CD4" w:rsidRDefault="00923CD4" w:rsidP="00923CD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 verkrijgingsprijs is de oorspronkelijke kostprijs plus de waardeaangroei die in het buitenland wél is belast.</w:t>
      </w:r>
    </w:p>
    <w:p w:rsidR="00923CD4" w:rsidRPr="00923CD4" w:rsidRDefault="00923CD4" w:rsidP="00923CD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 periode waarin geen Nederlandse belastingplicht bestond, telt niet mee.</w:t>
      </w:r>
    </w:p>
    <w:p w:rsidR="00923CD4" w:rsidRPr="00923CD4" w:rsidRDefault="00923CD4" w:rsidP="00923CD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Vestigingsplaatsficties uit de oude wetgeving spelen daarbij een rol.</w:t>
      </w:r>
    </w:p>
    <w:p w:rsidR="00923CD4" w:rsidRPr="00923CD4" w:rsidRDefault="00923CD4" w:rsidP="00923C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Uitspraak:</w:t>
      </w: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De verkrijgingsprijs bij remigratie blijft € 139.141, berekend op basis van de oorspronkelijke investering plus reëel belaste waardestijging.</w:t>
      </w:r>
    </w:p>
    <w:p w:rsidR="00923CD4" w:rsidRPr="00923CD4" w:rsidRDefault="00923CD4" w:rsidP="00923C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Belang:</w:t>
      </w:r>
    </w:p>
    <w:p w:rsidR="00923CD4" w:rsidRPr="00923CD4" w:rsidRDefault="00923CD4" w:rsidP="00923CD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Zorgt voor fiscale continuïteit bij terugkeer.</w:t>
      </w:r>
    </w:p>
    <w:p w:rsidR="00923CD4" w:rsidRPr="00923CD4" w:rsidRDefault="00923CD4" w:rsidP="00923CD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Relevantie voor IB-ondernemers die hun onderneming later weer in Nederland vestigen.</w:t>
      </w:r>
    </w:p>
    <w:p w:rsidR="00923CD4" w:rsidRPr="00923CD4" w:rsidRDefault="0030333A" w:rsidP="00923CD4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30333A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28" alt="" style="width:453.15pt;height:.05pt;mso-width-percent:0;mso-height-percent:0;mso-width-percent:0;mso-height-percent:0" o:hrpct="999" o:hralign="center" o:hrstd="t" o:hr="t" fillcolor="#a0a0a0" stroked="f"/>
        </w:pict>
      </w:r>
    </w:p>
    <w:p w:rsidR="00923CD4" w:rsidRPr="00923CD4" w:rsidRDefault="00923CD4" w:rsidP="00923C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923CD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l-NL"/>
          <w14:ligatures w14:val="none"/>
        </w:rPr>
        <w:t>🧾</w:t>
      </w:r>
      <w:r w:rsidRPr="00923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5. Gerechtshof Den Haag 19 oktober 2022, ECLI:</w:t>
      </w:r>
      <w:proofErr w:type="gramStart"/>
      <w:r w:rsidRPr="00923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NL:GHDHA</w:t>
      </w:r>
      <w:proofErr w:type="gramEnd"/>
      <w:r w:rsidRPr="00923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:2022:2201</w:t>
      </w:r>
    </w:p>
    <w:p w:rsidR="00923CD4" w:rsidRPr="00923CD4" w:rsidRDefault="00923CD4" w:rsidP="00923C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Feiten:</w:t>
      </w:r>
    </w:p>
    <w:p w:rsidR="00923CD4" w:rsidRPr="00923CD4" w:rsidRDefault="00923CD4" w:rsidP="00923CD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Een IB-ondernemer verhuisde naar België en verplaatste zijn onderneming.</w:t>
      </w:r>
    </w:p>
    <w:p w:rsidR="00923CD4" w:rsidRPr="00923CD4" w:rsidRDefault="00923CD4" w:rsidP="00923CD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Belastingdienst legde een conserverende aanslag op over stille reserves en goodwill.</w:t>
      </w:r>
    </w:p>
    <w:p w:rsidR="00923CD4" w:rsidRPr="00923CD4" w:rsidRDefault="00923CD4" w:rsidP="00923CD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Belastingplichtige betoogde dat EU-recht onbeperkte uitstel voorschrijft.</w:t>
      </w:r>
    </w:p>
    <w:p w:rsidR="00923CD4" w:rsidRPr="00923CD4" w:rsidRDefault="00923CD4" w:rsidP="00923C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Oordeel:</w:t>
      </w: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Het Hof bevestigde dat de conserverende aanslag terecht is opgelegd, maar dat:</w:t>
      </w:r>
    </w:p>
    <w:p w:rsidR="00923CD4" w:rsidRPr="00923CD4" w:rsidRDefault="00923CD4" w:rsidP="00923CD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De invordering </w:t>
      </w: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moet worden uitgesteld</w:t>
      </w: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,</w:t>
      </w:r>
    </w:p>
    <w:p w:rsidR="00923CD4" w:rsidRPr="00923CD4" w:rsidRDefault="00923CD4" w:rsidP="00923CD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En </w:t>
      </w: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geen zekerheid</w:t>
      </w: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mag worden verlangd zolang de ondernemer binnen de EU blijft.</w:t>
      </w:r>
    </w:p>
    <w:p w:rsidR="00923CD4" w:rsidRPr="00923CD4" w:rsidRDefault="00923CD4" w:rsidP="00923C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Belang:</w:t>
      </w:r>
    </w:p>
    <w:p w:rsidR="00923CD4" w:rsidRPr="00923CD4" w:rsidRDefault="00923CD4" w:rsidP="00923CD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lastRenderedPageBreak/>
        <w:t xml:space="preserve">Bevestigt doorwerking van </w:t>
      </w:r>
      <w:r w:rsidRPr="00923CD4">
        <w:rPr>
          <w:rFonts w:ascii="Times New Roman" w:eastAsia="Times New Roman" w:hAnsi="Times New Roman" w:cs="Times New Roman"/>
          <w:i/>
          <w:iCs/>
          <w:kern w:val="0"/>
          <w:lang w:eastAsia="nl-NL"/>
          <w14:ligatures w14:val="none"/>
        </w:rPr>
        <w:t>N</w:t>
      </w: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-arrest en HR 2017-lijn.</w:t>
      </w:r>
    </w:p>
    <w:p w:rsidR="00923CD4" w:rsidRPr="00923CD4" w:rsidRDefault="00923CD4" w:rsidP="00923CD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Toegepast op zelfstandige IB-ondernemers, niet alleen </w:t>
      </w:r>
      <w:proofErr w:type="gramStart"/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aanmerkelijk belanghouders</w:t>
      </w:r>
      <w:proofErr w:type="gramEnd"/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:rsidR="00923CD4" w:rsidRPr="00923CD4" w:rsidRDefault="0030333A" w:rsidP="00923CD4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30333A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27" alt="" style="width:453.15pt;height:.05pt;mso-width-percent:0;mso-height-percent:0;mso-width-percent:0;mso-height-percent:0" o:hrpct="999" o:hralign="center" o:hrstd="t" o:hr="t" fillcolor="#a0a0a0" stroked="f"/>
        </w:pict>
      </w:r>
    </w:p>
    <w:p w:rsidR="00923CD4" w:rsidRPr="00923CD4" w:rsidRDefault="00923CD4" w:rsidP="00923CD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923CD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🧾</w:t>
      </w:r>
      <w:r w:rsidRPr="00923C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Overzichtstabel jurisprudentie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"/>
        <w:gridCol w:w="1862"/>
        <w:gridCol w:w="3464"/>
        <w:gridCol w:w="3325"/>
      </w:tblGrid>
      <w:tr w:rsidR="00923CD4" w:rsidRPr="00923CD4" w:rsidTr="00923C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3CD4" w:rsidRPr="00923CD4" w:rsidRDefault="00923CD4" w:rsidP="00923C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923CD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Nr.</w:t>
            </w:r>
          </w:p>
        </w:tc>
        <w:tc>
          <w:tcPr>
            <w:tcW w:w="0" w:type="auto"/>
            <w:vAlign w:val="center"/>
            <w:hideMark/>
          </w:tcPr>
          <w:p w:rsidR="00923CD4" w:rsidRPr="00923CD4" w:rsidRDefault="00923CD4" w:rsidP="00923C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proofErr w:type="gramStart"/>
            <w:r w:rsidRPr="00923CD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Instantie /</w:t>
            </w:r>
            <w:proofErr w:type="gramEnd"/>
            <w:r w:rsidRPr="00923CD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 xml:space="preserve"> ECLI</w:t>
            </w:r>
          </w:p>
        </w:tc>
        <w:tc>
          <w:tcPr>
            <w:tcW w:w="0" w:type="auto"/>
            <w:vAlign w:val="center"/>
            <w:hideMark/>
          </w:tcPr>
          <w:p w:rsidR="00923CD4" w:rsidRPr="00923CD4" w:rsidRDefault="00923CD4" w:rsidP="00923C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923CD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Kernonderwerp</w:t>
            </w:r>
          </w:p>
        </w:tc>
        <w:tc>
          <w:tcPr>
            <w:tcW w:w="0" w:type="auto"/>
            <w:vAlign w:val="center"/>
            <w:hideMark/>
          </w:tcPr>
          <w:p w:rsidR="00923CD4" w:rsidRPr="00923CD4" w:rsidRDefault="00923CD4" w:rsidP="00923C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923CD4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Belangrijkste rechtsregel</w:t>
            </w:r>
          </w:p>
        </w:tc>
      </w:tr>
      <w:tr w:rsidR="00923CD4" w:rsidRPr="00923CD4" w:rsidTr="00923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CD4" w:rsidRPr="00923CD4" w:rsidRDefault="00923CD4" w:rsidP="00923CD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23CD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23CD4" w:rsidRPr="00923CD4" w:rsidRDefault="00923CD4" w:rsidP="00923CD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proofErr w:type="spellStart"/>
            <w:r w:rsidRPr="00923CD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HvJ</w:t>
            </w:r>
            <w:proofErr w:type="spellEnd"/>
            <w:r w:rsidRPr="00923CD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EU, C-470/04 (N)</w:t>
            </w:r>
          </w:p>
        </w:tc>
        <w:tc>
          <w:tcPr>
            <w:tcW w:w="0" w:type="auto"/>
            <w:vAlign w:val="center"/>
            <w:hideMark/>
          </w:tcPr>
          <w:p w:rsidR="00923CD4" w:rsidRPr="00923CD4" w:rsidRDefault="00923CD4" w:rsidP="00923CD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23CD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Exit-heffing binnen EU</w:t>
            </w:r>
          </w:p>
        </w:tc>
        <w:tc>
          <w:tcPr>
            <w:tcW w:w="0" w:type="auto"/>
            <w:vAlign w:val="center"/>
            <w:hideMark/>
          </w:tcPr>
          <w:p w:rsidR="00923CD4" w:rsidRPr="00923CD4" w:rsidRDefault="00923CD4" w:rsidP="00923CD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23CD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Exit-heffing mag, mits uitstel zonder zekerheid</w:t>
            </w:r>
          </w:p>
        </w:tc>
      </w:tr>
      <w:tr w:rsidR="00923CD4" w:rsidRPr="00923CD4" w:rsidTr="00923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CD4" w:rsidRPr="00923CD4" w:rsidRDefault="00923CD4" w:rsidP="00923CD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23CD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23CD4" w:rsidRPr="00923CD4" w:rsidRDefault="00923CD4" w:rsidP="00923CD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23CD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HR 2017:2360</w:t>
            </w:r>
          </w:p>
        </w:tc>
        <w:tc>
          <w:tcPr>
            <w:tcW w:w="0" w:type="auto"/>
            <w:vAlign w:val="center"/>
            <w:hideMark/>
          </w:tcPr>
          <w:p w:rsidR="00923CD4" w:rsidRPr="00923CD4" w:rsidRDefault="00923CD4" w:rsidP="00923CD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23CD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Zekerheidsstelling binnen EU</w:t>
            </w:r>
          </w:p>
        </w:tc>
        <w:tc>
          <w:tcPr>
            <w:tcW w:w="0" w:type="auto"/>
            <w:vAlign w:val="center"/>
            <w:hideMark/>
          </w:tcPr>
          <w:p w:rsidR="00923CD4" w:rsidRPr="00923CD4" w:rsidRDefault="00923CD4" w:rsidP="00923CD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23CD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Geen zekerheid bij uitstel binnen EU/EER</w:t>
            </w:r>
          </w:p>
        </w:tc>
      </w:tr>
      <w:tr w:rsidR="00923CD4" w:rsidRPr="00923CD4" w:rsidTr="00923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CD4" w:rsidRPr="00923CD4" w:rsidRDefault="00923CD4" w:rsidP="00923CD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23CD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23CD4" w:rsidRPr="00923CD4" w:rsidRDefault="00923CD4" w:rsidP="00923CD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23CD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HR 2019:168</w:t>
            </w:r>
          </w:p>
        </w:tc>
        <w:tc>
          <w:tcPr>
            <w:tcW w:w="0" w:type="auto"/>
            <w:vAlign w:val="center"/>
            <w:hideMark/>
          </w:tcPr>
          <w:p w:rsidR="00923CD4" w:rsidRPr="00923CD4" w:rsidRDefault="00923CD4" w:rsidP="00923CD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23CD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Onderneming blijft in NL</w:t>
            </w:r>
          </w:p>
        </w:tc>
        <w:tc>
          <w:tcPr>
            <w:tcW w:w="0" w:type="auto"/>
            <w:vAlign w:val="center"/>
            <w:hideMark/>
          </w:tcPr>
          <w:p w:rsidR="00923CD4" w:rsidRPr="00923CD4" w:rsidRDefault="00923CD4" w:rsidP="00923CD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23CD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Geen staking als onderneming feitelijk in NL blijft</w:t>
            </w:r>
          </w:p>
        </w:tc>
      </w:tr>
      <w:tr w:rsidR="00923CD4" w:rsidRPr="00923CD4" w:rsidTr="00923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CD4" w:rsidRPr="00923CD4" w:rsidRDefault="00923CD4" w:rsidP="00923CD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23CD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23CD4" w:rsidRPr="00923CD4" w:rsidRDefault="00923CD4" w:rsidP="00923CD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23CD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HR 2024:1243</w:t>
            </w:r>
          </w:p>
        </w:tc>
        <w:tc>
          <w:tcPr>
            <w:tcW w:w="0" w:type="auto"/>
            <w:vAlign w:val="center"/>
            <w:hideMark/>
          </w:tcPr>
          <w:p w:rsidR="00923CD4" w:rsidRPr="00923CD4" w:rsidRDefault="00923CD4" w:rsidP="00923CD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23CD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Verkrijgingsprijs bij remigratie</w:t>
            </w:r>
          </w:p>
        </w:tc>
        <w:tc>
          <w:tcPr>
            <w:tcW w:w="0" w:type="auto"/>
            <w:vAlign w:val="center"/>
            <w:hideMark/>
          </w:tcPr>
          <w:p w:rsidR="00923CD4" w:rsidRPr="00923CD4" w:rsidRDefault="00923CD4" w:rsidP="00923CD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23CD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Alleen waardestijging die is belast telt mee</w:t>
            </w:r>
          </w:p>
        </w:tc>
      </w:tr>
      <w:tr w:rsidR="00923CD4" w:rsidRPr="00923CD4" w:rsidTr="00923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CD4" w:rsidRPr="00923CD4" w:rsidRDefault="00923CD4" w:rsidP="00923CD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23CD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23CD4" w:rsidRPr="00923CD4" w:rsidRDefault="00923CD4" w:rsidP="00923CD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23CD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Hof Den Haag 2022:2201</w:t>
            </w:r>
          </w:p>
        </w:tc>
        <w:tc>
          <w:tcPr>
            <w:tcW w:w="0" w:type="auto"/>
            <w:vAlign w:val="center"/>
            <w:hideMark/>
          </w:tcPr>
          <w:p w:rsidR="00923CD4" w:rsidRPr="00923CD4" w:rsidRDefault="00923CD4" w:rsidP="00923CD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23CD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Toepassing conserverende aanslag IB-ondernemer</w:t>
            </w:r>
          </w:p>
        </w:tc>
        <w:tc>
          <w:tcPr>
            <w:tcW w:w="0" w:type="auto"/>
            <w:vAlign w:val="center"/>
            <w:hideMark/>
          </w:tcPr>
          <w:p w:rsidR="00923CD4" w:rsidRPr="00923CD4" w:rsidRDefault="00923CD4" w:rsidP="00923CD4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923CD4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Uitstel verplicht conform EU-recht</w:t>
            </w:r>
          </w:p>
        </w:tc>
      </w:tr>
    </w:tbl>
    <w:p w:rsidR="00923CD4" w:rsidRPr="00923CD4" w:rsidRDefault="0030333A" w:rsidP="00923CD4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30333A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26" alt="" style="width:453.15pt;height:.05pt;mso-width-percent:0;mso-height-percent:0;mso-width-percent:0;mso-height-percent:0" o:hrpct="999" o:hralign="center" o:hrstd="t" o:hr="t" fillcolor="#a0a0a0" stroked="f"/>
        </w:pict>
      </w:r>
    </w:p>
    <w:p w:rsidR="00923CD4" w:rsidRPr="00923CD4" w:rsidRDefault="00923CD4" w:rsidP="00923CD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923CD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🔍</w:t>
      </w:r>
      <w:r w:rsidRPr="00923C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Conclusie voor AI-training</w:t>
      </w:r>
    </w:p>
    <w:p w:rsidR="00923CD4" w:rsidRPr="00923CD4" w:rsidRDefault="00923CD4" w:rsidP="00923C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Een AI-model moet bij dit onderwerp de volgende logische structuur herkennen:</w:t>
      </w:r>
    </w:p>
    <w:p w:rsidR="00923CD4" w:rsidRPr="00923CD4" w:rsidRDefault="00923CD4" w:rsidP="00923CD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Emigratie</w:t>
      </w: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→ beëindiging binnenlandse belastingplicht → fictieve staking.</w:t>
      </w:r>
    </w:p>
    <w:p w:rsidR="00923CD4" w:rsidRPr="00923CD4" w:rsidRDefault="00923CD4" w:rsidP="00923CD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Fictieve staking</w:t>
      </w: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→ berekening stakingswinst → conserverende aanslag.</w:t>
      </w:r>
    </w:p>
    <w:p w:rsidR="00923CD4" w:rsidRPr="00923CD4" w:rsidRDefault="00923CD4" w:rsidP="00923CD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Conserverende aanslag</w:t>
      </w: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→ tijdelijk uitstel van betaling (Invorderingswet).</w:t>
      </w:r>
    </w:p>
    <w:p w:rsidR="00923CD4" w:rsidRPr="00923CD4" w:rsidRDefault="00923CD4" w:rsidP="00923CD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Binnen EU/EER</w:t>
      </w: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→ onbeperkt uitstel zonder zekerheid (</w:t>
      </w:r>
      <w:proofErr w:type="spellStart"/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HvJ</w:t>
      </w:r>
      <w:proofErr w:type="spellEnd"/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N, HR 2017).</w:t>
      </w:r>
    </w:p>
    <w:p w:rsidR="00923CD4" w:rsidRPr="00923CD4" w:rsidRDefault="00923CD4" w:rsidP="00923CD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Buiten EU/EER</w:t>
      </w: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→ beperkt uitstel, zekerheid vereist.</w:t>
      </w:r>
    </w:p>
    <w:p w:rsidR="00923CD4" w:rsidRPr="00923CD4" w:rsidRDefault="00923CD4" w:rsidP="00923CD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Remigratie</w:t>
      </w: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→ verkrijgingsprijs of waardeherstel (HR 2024).</w:t>
      </w:r>
    </w:p>
    <w:p w:rsidR="00923CD4" w:rsidRPr="00923CD4" w:rsidRDefault="00923CD4" w:rsidP="00923C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Zo leert het model onderscheid maken tussen </w:t>
      </w: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materiële belastingplicht</w:t>
      </w: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, </w:t>
      </w: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heffingsmoment</w:t>
      </w: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, </w:t>
      </w: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EU-rechtelijke beperkingen</w:t>
      </w: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en </w:t>
      </w:r>
      <w:r w:rsidRPr="00923CD4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invorderingsregels</w:t>
      </w:r>
      <w:r w:rsidRPr="00923CD4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— cruciaal voor juridische redenering over grensoverschrijdende fiscaliteit.</w:t>
      </w:r>
    </w:p>
    <w:p w:rsidR="00923CD4" w:rsidRPr="00923CD4" w:rsidRDefault="0030333A" w:rsidP="00923CD4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30333A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25" alt="" style="width:453.15pt;height:.05pt;mso-width-percent:0;mso-height-percent:0;mso-width-percent:0;mso-height-percent:0" o:hrpct="999" o:hralign="center" o:hrstd="t" o:hr="t" fillcolor="#a0a0a0" stroked="f"/>
        </w:pict>
      </w:r>
    </w:p>
    <w:p w:rsidR="00923CD4" w:rsidRPr="00923CD4" w:rsidRDefault="00923CD4" w:rsidP="00923C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</w:p>
    <w:p w:rsidR="00923CD4" w:rsidRPr="00D9636B" w:rsidRDefault="00923CD4"/>
    <w:sectPr w:rsidR="00923CD4" w:rsidRPr="00D9636B" w:rsidSect="00017EE2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23E5C"/>
    <w:multiLevelType w:val="multilevel"/>
    <w:tmpl w:val="FCA2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240B1"/>
    <w:multiLevelType w:val="multilevel"/>
    <w:tmpl w:val="1DD2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92A83"/>
    <w:multiLevelType w:val="multilevel"/>
    <w:tmpl w:val="50A2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50C7C"/>
    <w:multiLevelType w:val="multilevel"/>
    <w:tmpl w:val="46B0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F7809"/>
    <w:multiLevelType w:val="multilevel"/>
    <w:tmpl w:val="8EB2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52C8D"/>
    <w:multiLevelType w:val="multilevel"/>
    <w:tmpl w:val="BCD8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2676E"/>
    <w:multiLevelType w:val="multilevel"/>
    <w:tmpl w:val="4DB4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26BDA"/>
    <w:multiLevelType w:val="multilevel"/>
    <w:tmpl w:val="AC1E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27121"/>
    <w:multiLevelType w:val="multilevel"/>
    <w:tmpl w:val="9A28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1731A3"/>
    <w:multiLevelType w:val="multilevel"/>
    <w:tmpl w:val="0E5C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007B6"/>
    <w:multiLevelType w:val="multilevel"/>
    <w:tmpl w:val="FB9E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A108D2"/>
    <w:multiLevelType w:val="multilevel"/>
    <w:tmpl w:val="37A6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41607E"/>
    <w:multiLevelType w:val="multilevel"/>
    <w:tmpl w:val="33D4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A6B6D"/>
    <w:multiLevelType w:val="multilevel"/>
    <w:tmpl w:val="FE2A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A4052"/>
    <w:multiLevelType w:val="multilevel"/>
    <w:tmpl w:val="B532F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A46323"/>
    <w:multiLevelType w:val="multilevel"/>
    <w:tmpl w:val="04F48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DE5C83"/>
    <w:multiLevelType w:val="multilevel"/>
    <w:tmpl w:val="9FEC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A1659"/>
    <w:multiLevelType w:val="multilevel"/>
    <w:tmpl w:val="375A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F55F22"/>
    <w:multiLevelType w:val="multilevel"/>
    <w:tmpl w:val="DAFE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7D40C7"/>
    <w:multiLevelType w:val="multilevel"/>
    <w:tmpl w:val="B490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334754"/>
    <w:multiLevelType w:val="multilevel"/>
    <w:tmpl w:val="551E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884795">
    <w:abstractNumId w:val="14"/>
  </w:num>
  <w:num w:numId="2" w16cid:durableId="1842742068">
    <w:abstractNumId w:val="17"/>
  </w:num>
  <w:num w:numId="3" w16cid:durableId="427967917">
    <w:abstractNumId w:val="2"/>
  </w:num>
  <w:num w:numId="4" w16cid:durableId="1557544841">
    <w:abstractNumId w:val="9"/>
  </w:num>
  <w:num w:numId="5" w16cid:durableId="827670201">
    <w:abstractNumId w:val="4"/>
  </w:num>
  <w:num w:numId="6" w16cid:durableId="949555190">
    <w:abstractNumId w:val="13"/>
  </w:num>
  <w:num w:numId="7" w16cid:durableId="1169252799">
    <w:abstractNumId w:val="1"/>
  </w:num>
  <w:num w:numId="8" w16cid:durableId="958146823">
    <w:abstractNumId w:val="5"/>
  </w:num>
  <w:num w:numId="9" w16cid:durableId="635181752">
    <w:abstractNumId w:val="8"/>
  </w:num>
  <w:num w:numId="10" w16cid:durableId="320353479">
    <w:abstractNumId w:val="12"/>
  </w:num>
  <w:num w:numId="11" w16cid:durableId="1372416637">
    <w:abstractNumId w:val="19"/>
  </w:num>
  <w:num w:numId="12" w16cid:durableId="1537884683">
    <w:abstractNumId w:val="3"/>
  </w:num>
  <w:num w:numId="13" w16cid:durableId="1289899563">
    <w:abstractNumId w:val="18"/>
  </w:num>
  <w:num w:numId="14" w16cid:durableId="1350452153">
    <w:abstractNumId w:val="0"/>
  </w:num>
  <w:num w:numId="15" w16cid:durableId="568345432">
    <w:abstractNumId w:val="16"/>
  </w:num>
  <w:num w:numId="16" w16cid:durableId="1414929328">
    <w:abstractNumId w:val="10"/>
  </w:num>
  <w:num w:numId="17" w16cid:durableId="1806848643">
    <w:abstractNumId w:val="20"/>
  </w:num>
  <w:num w:numId="18" w16cid:durableId="637222089">
    <w:abstractNumId w:val="7"/>
  </w:num>
  <w:num w:numId="19" w16cid:durableId="1012728960">
    <w:abstractNumId w:val="6"/>
  </w:num>
  <w:num w:numId="20" w16cid:durableId="66153947">
    <w:abstractNumId w:val="11"/>
  </w:num>
  <w:num w:numId="21" w16cid:durableId="4250784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36B"/>
    <w:rsid w:val="00017EE2"/>
    <w:rsid w:val="00094D1F"/>
    <w:rsid w:val="001C5DB1"/>
    <w:rsid w:val="0030333A"/>
    <w:rsid w:val="00923CD4"/>
    <w:rsid w:val="00D96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0F51C1F8"/>
  <w15:chartTrackingRefBased/>
  <w15:docId w15:val="{0A1D2044-C881-9441-B4BA-DED35F749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2">
    <w:name w:val="heading 2"/>
    <w:basedOn w:val="Standaard"/>
    <w:link w:val="Kop2Char"/>
    <w:uiPriority w:val="9"/>
    <w:qFormat/>
    <w:rsid w:val="00D9636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nl-NL"/>
      <w14:ligatures w14:val="none"/>
    </w:rPr>
  </w:style>
  <w:style w:type="paragraph" w:styleId="Kop3">
    <w:name w:val="heading 3"/>
    <w:basedOn w:val="Standaard"/>
    <w:link w:val="Kop3Char"/>
    <w:uiPriority w:val="9"/>
    <w:qFormat/>
    <w:rsid w:val="00D9636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nl-NL"/>
      <w14:ligatures w14:val="non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basedOn w:val="Standaardalinea-lettertype"/>
    <w:link w:val="Kop2"/>
    <w:uiPriority w:val="9"/>
    <w:rsid w:val="00D9636B"/>
    <w:rPr>
      <w:rFonts w:ascii="Times New Roman" w:eastAsia="Times New Roman" w:hAnsi="Times New Roman" w:cs="Times New Roman"/>
      <w:b/>
      <w:bCs/>
      <w:kern w:val="0"/>
      <w:sz w:val="36"/>
      <w:szCs w:val="36"/>
      <w:lang w:eastAsia="nl-NL"/>
      <w14:ligatures w14:val="none"/>
    </w:rPr>
  </w:style>
  <w:style w:type="character" w:customStyle="1" w:styleId="Kop3Char">
    <w:name w:val="Kop 3 Char"/>
    <w:basedOn w:val="Standaardalinea-lettertype"/>
    <w:link w:val="Kop3"/>
    <w:uiPriority w:val="9"/>
    <w:rsid w:val="00D9636B"/>
    <w:rPr>
      <w:rFonts w:ascii="Times New Roman" w:eastAsia="Times New Roman" w:hAnsi="Times New Roman" w:cs="Times New Roman"/>
      <w:b/>
      <w:bCs/>
      <w:kern w:val="0"/>
      <w:sz w:val="27"/>
      <w:szCs w:val="27"/>
      <w:lang w:eastAsia="nl-NL"/>
      <w14:ligatures w14:val="none"/>
    </w:rPr>
  </w:style>
  <w:style w:type="paragraph" w:styleId="Normaalweb">
    <w:name w:val="Normal (Web)"/>
    <w:basedOn w:val="Standaard"/>
    <w:uiPriority w:val="99"/>
    <w:semiHidden/>
    <w:unhideWhenUsed/>
    <w:rsid w:val="00D9636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styleId="Zwaar">
    <w:name w:val="Strong"/>
    <w:basedOn w:val="Standaardalinea-lettertype"/>
    <w:uiPriority w:val="22"/>
    <w:qFormat/>
    <w:rsid w:val="00D9636B"/>
    <w:rPr>
      <w:b/>
      <w:bCs/>
    </w:rPr>
  </w:style>
  <w:style w:type="character" w:styleId="Nadruk">
    <w:name w:val="Emphasis"/>
    <w:basedOn w:val="Standaardalinea-lettertype"/>
    <w:uiPriority w:val="20"/>
    <w:qFormat/>
    <w:rsid w:val="00D9636B"/>
    <w:rPr>
      <w:i/>
      <w:iCs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923C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nl-NL"/>
      <w14:ligatures w14:val="none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923CD4"/>
    <w:rPr>
      <w:rFonts w:ascii="Courier New" w:eastAsia="Times New Roman" w:hAnsi="Courier New" w:cs="Courier New"/>
      <w:kern w:val="0"/>
      <w:sz w:val="20"/>
      <w:szCs w:val="20"/>
      <w:lang w:eastAsia="nl-NL"/>
      <w14:ligatures w14:val="none"/>
    </w:rPr>
  </w:style>
  <w:style w:type="character" w:styleId="HTMLCode">
    <w:name w:val="HTML Code"/>
    <w:basedOn w:val="Standaardalinea-lettertype"/>
    <w:uiPriority w:val="99"/>
    <w:semiHidden/>
    <w:unhideWhenUsed/>
    <w:rsid w:val="00923C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1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2494</Words>
  <Characters>13723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2025-10-28T19:10:00Z</dcterms:created>
  <dcterms:modified xsi:type="dcterms:W3CDTF">2025-10-28T19:23:00Z</dcterms:modified>
</cp:coreProperties>
</file>