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4D1F" w:rsidRDefault="00980DCE">
      <w:r w:rsidRPr="00980DCE">
        <w:t>Herstructurering  en gevolgen fiscal en conservere</w:t>
      </w:r>
      <w:r>
        <w:t>nde aanslag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Heel goed scenario — dit is 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klassiek en complex migratievraagstuk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dat veel voorkomt bij ondernemers die naar Dubai verhuizen maar hun Nederlandse bedrijfsstructuur willen behouden. Hieronder geef ik 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uitgebreide, juridisch correcte en didactisch gestructureerde uitleg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— geschikt voor gebruik in jouw AI-trainingsmodel.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Ik zal stap voor stap uitleggen: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1</w:t>
      </w: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️⃣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fiscale context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structuur vóór en na emigratie,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2</w:t>
      </w: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️⃣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procedure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om de Nederlandse holding onder de Dubai Ltd te hangen,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3</w:t>
      </w: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️⃣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valkuilen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juridische eisen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4</w:t>
      </w: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️⃣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 relevante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wetsartikelen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5</w:t>
      </w: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️⃣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 belangrijkste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jurisprudentie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6</w:t>
      </w: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️⃣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gevolgen voor de conserverende aanslag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7</w:t>
      </w: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️⃣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tot slot 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samenvattende tabel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980DCE" w:rsidRPr="00980DCE" w:rsidRDefault="00CA7C55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A7C55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1" alt="" style="width:453.15pt;height:.05pt;mso-width-percent:0;mso-height-percent:0;mso-width-percent:0;mso-height-percent:0" o:hrpct="999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980DC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🧩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1. Beginsituatie vóór emigratie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ondernemer heeft:</w:t>
      </w:r>
    </w:p>
    <w:p w:rsidR="00980DCE" w:rsidRPr="00980DCE" w:rsidRDefault="00980DCE" w:rsidP="00980D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Nederlandse holding BV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met aandelen in 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Nederlandse werkmaatschappij (werk-BV)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980DCE" w:rsidRPr="00980DCE" w:rsidRDefault="00980DCE" w:rsidP="00980D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ondernemer is inwoner van Nederland en dus binnenlands belastingplichtig.</w:t>
      </w:r>
    </w:p>
    <w:p w:rsidR="00980DCE" w:rsidRPr="00980DCE" w:rsidRDefault="00980DCE" w:rsidP="00980D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holding en werkmaatschappij zijn beide in Nederland gevestigd voor de vennootschapsbelasting (art. 2 lid 1 onderdeel a Wet Vpb 1969).</w:t>
      </w:r>
    </w:p>
    <w:p w:rsidR="00980DCE" w:rsidRPr="00980DCE" w:rsidRDefault="00CA7C55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A7C55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0" alt="" style="width:453.15pt;height:.05pt;mso-width-percent:0;mso-height-percent:0;mso-width-percent:0;mso-height-percent:0" o:hrpct="999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980DC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✈️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2. Emigratie en oprichting van Dubai Ltd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ondernemer:</w:t>
      </w:r>
    </w:p>
    <w:p w:rsidR="00980DCE" w:rsidRPr="00980DCE" w:rsidRDefault="00980DCE" w:rsidP="00980DC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Emigreert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fysiek naar Dubai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wordt daar fiscaal inwoner.</w:t>
      </w:r>
    </w:p>
    <w:p w:rsidR="00980DCE" w:rsidRPr="00980DCE" w:rsidRDefault="00980DCE" w:rsidP="00980DC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Richt 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Dubai Ltd (Free Zone of mainland company)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op.</w:t>
      </w:r>
    </w:p>
    <w:p w:rsidR="00980DCE" w:rsidRPr="00980DCE" w:rsidRDefault="00980DCE" w:rsidP="00980DC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Wil de Nederlandse holding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onder de Dubai Ltd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plaatsen, zodat de Dubai Ltd de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aandeelhouder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wordt van de Nederlandse holding.</w:t>
      </w:r>
    </w:p>
    <w:p w:rsidR="00980DCE" w:rsidRPr="00980DCE" w:rsidRDefault="00980DCE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980DC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⚙️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3. Procedure: hoe de Nederlandse holding “onder” de Dubai Ltd komt te hangen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Er zijn in wezen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twee routes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</w:t>
      </w:r>
    </w:p>
    <w:p w:rsidR="00980DCE" w:rsidRPr="00980DCE" w:rsidRDefault="00980DCE" w:rsidP="00980D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lastRenderedPageBreak/>
        <w:t>Route A: Aandelenruil (share-for-share exchange)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➡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 aandeelhouder (natuurlijk persoon) brengt zijn aandelen in de Nederlandse holding in als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inbreng in natura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 ruil voor aandelen in de Dubai Ltd.</w:t>
      </w:r>
    </w:p>
    <w:p w:rsidR="00980DCE" w:rsidRPr="00980DCE" w:rsidRDefault="00980DCE" w:rsidP="00980DC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Dubai Ltd wordt daardoor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moedermaatschappij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van de Nederlandse holding.</w:t>
      </w:r>
    </w:p>
    <w:p w:rsidR="00980DCE" w:rsidRPr="00980DCE" w:rsidRDefault="00980DCE" w:rsidP="00980DC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natuurlijke persoon wordt aandeelhouder van de Dubai Ltd.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Deze transactie is naar Nederlands recht 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vervreemding van aandelen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(art. 4.16 lid 1 onderdeel a Wet IB 2001).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📘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r w:rsidRPr="00980DCE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Gevolg: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er kan 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conserverende aanslag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worden opgelegd over de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latente aanmerkelijkbelangwinst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(zie verder bij punt 6).</w:t>
      </w:r>
    </w:p>
    <w:p w:rsidR="00980DCE" w:rsidRPr="00980DCE" w:rsidRDefault="00980DCE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Route B: Verplaatsing van de Nederlandse holding zelf naar Dubai (zetelverplaatsing)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➡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 Nederlandse holding verplaatst haar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feitelijke leiding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naar Dubai (art. 4 lid 3 AWR).</w:t>
      </w:r>
    </w:p>
    <w:p w:rsidR="00980DCE" w:rsidRPr="00980DCE" w:rsidRDefault="00980DCE" w:rsidP="00980DC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vennootschap blijft een Nederlandse rechtspersoon, maar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wordt fiscaal inwoner van Dubai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(tenzij verdragsbepalingen anders bepalen).</w:t>
      </w:r>
    </w:p>
    <w:p w:rsidR="00980DCE" w:rsidRPr="00980DCE" w:rsidRDefault="00980DCE" w:rsidP="00980DC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Dit kan leiden tot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beëindiging van de binnenlandse belastingplicht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exitheffing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(art. 15c Wet Vpb 1969).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📘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r w:rsidRPr="00980DCE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Opmerking: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 de praktijk wordt vaak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eerst de Dubai Ltd opgericht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pas daarna de Nederlandse holding ondergeschikt gemaakt, zodat de zeggenschap duidelijk is.</w:t>
      </w:r>
    </w:p>
    <w:p w:rsidR="00980DCE" w:rsidRPr="00980DCE" w:rsidRDefault="00980DCE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980DC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⚠️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4. Valkuilen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6250"/>
      </w:tblGrid>
      <w:tr w:rsidR="00980DCE" w:rsidRPr="00980DCE" w:rsidTr="00980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Fiscale valkuil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Uitleg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Fictieve vervreemding (art. 4.16 Wet IB 2001)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Bij emigratie van de aandeelhouder wordt aangenomen dat hij zijn aandelen heeft vervreemd. De waardeverschil tussen verkrijgingsprijs en waarde in het economisch verkeer wordt belast.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Exitheffing bij zetelverplaatsing (art. 15c Wet Vpb 1969)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Bij verplaatsing van de feitelijke leiding van de holding ontstaat belasting over de stille reserves, herinvesteringsreserves en fiscale claims.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Substance-eisen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Als de feitelijke leiding van de holding feitelijk in Nederland blijft, kan de Belastingdienst stellen dat de holding nog steeds in Nederland is gevestigd.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Dubbele vestigingsplaats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Een BV kan formeel in Nederland blijven, maar ook geacht worden in Dubai gevestigd te zijn. Een belastingverdrag bepaalt welk land dan de heffing krijgt.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lastRenderedPageBreak/>
              <w:t>Fraus legis / misbruik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Als de structuur enkel fiscaal gemotiveerd is (belastingbesparing zonder zakelijk doel), kan deze worden genegeerd (HR 1988/217).</w:t>
            </w:r>
          </w:p>
        </w:tc>
      </w:tr>
    </w:tbl>
    <w:p w:rsidR="00980DCE" w:rsidRPr="00980DCE" w:rsidRDefault="00980DCE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980DC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⚖️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5. Relevante wetsartikelen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1372"/>
        <w:gridCol w:w="4967"/>
      </w:tblGrid>
      <w:tr w:rsidR="00980DCE" w:rsidRPr="00980DCE" w:rsidTr="00980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Artikel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Kern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 IB 2001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4.16 lid 1 sub h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Fictieve vervreemding bij emigratie van aanmerkelijkbelanghouder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 IB 2001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2.8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Wereldinkomen vóór emigratie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 Vpb 1969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15c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Exitheffing bij verplaatsing van feitelijke leiding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AWR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4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Vestigingsplaatscriterium (“waar de feitelijke leiding wordt uitgeoefend”)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Invorderingswet 1990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25, 26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Conserverende aanslag en uitstel van betaling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Verdrag Nederland - VAE (Dubai)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4, 5, 10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Behandeling van vaste inrichting, inwonerschap en dividenden</w:t>
            </w:r>
          </w:p>
        </w:tc>
      </w:tr>
    </w:tbl>
    <w:p w:rsidR="00980DCE" w:rsidRPr="00980DCE" w:rsidRDefault="00980DCE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980DC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📚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6. Relevante jurisprudentie (met uitgebreide toelichting)</w:t>
      </w:r>
    </w:p>
    <w:p w:rsidR="00980DCE" w:rsidRPr="00980DCE" w:rsidRDefault="00980DCE" w:rsidP="00980D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>1</w:t>
      </w:r>
      <w:r w:rsidRPr="00980DC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️</w:t>
      </w:r>
      <w:r w:rsidRPr="00980DC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US" w:eastAsia="nl-NL"/>
          <w14:ligatures w14:val="none"/>
        </w:rPr>
        <w:t>⃣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 xml:space="preserve"> HR 23 september 1992, BNB 1993/193 (Holding-arrest)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Zie ook eerdere uitleg — bepaalt dat feitelijke leiding waar de beslissingen worden genomen ligt.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➡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Toepassing: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Als de leiding nog in Nederland plaatsvindt, wordt de holding ondanks emigratie als Nederlands beschouwd.</w:t>
      </w:r>
    </w:p>
    <w:p w:rsidR="00980DCE" w:rsidRPr="00980DCE" w:rsidRDefault="00980DCE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2</w:t>
      </w:r>
      <w:r w:rsidRPr="00980DC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️⃣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HR 25 november 2011, ECLI:NL:HR:2011:BN3442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Managementfee zonder reële dienst → niet zakelijk.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➡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Toepassing: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Een Dubai Ltd die geen echte leiding geeft aan de Nederlandse holding, wordt niet erkend.</w:t>
      </w:r>
    </w:p>
    <w:p w:rsidR="00980DCE" w:rsidRPr="00980DCE" w:rsidRDefault="00980DCE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3</w:t>
      </w:r>
      <w:r w:rsidRPr="00980DC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️⃣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HR 12 mei 2006, ECLI:NL:HR:2006:AX7244 (Conserverende aanslag bij emigratie)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Hoge Raad bevestigde dat bij emigratie van een aanmerkelijkbelanghouder 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conserverende aanslag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mag worden opgelegd ter behoud van heffingsrecht over de latente 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AB-winst.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➡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 aanslag blijft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invorderbaar bij vervreemding of dividenduitkering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binnen 10 jaar.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➡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Uitstel van betaling mogelijk (art. 25 IW 1990).</w:t>
      </w:r>
    </w:p>
    <w:p w:rsidR="00980DCE" w:rsidRPr="00980DCE" w:rsidRDefault="00980DCE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4</w:t>
      </w:r>
      <w:r w:rsidRPr="00980DC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️⃣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HR 6 april 2018, ECLI:NL:HR:2018:511 (Feitelijke leiding)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Feitelijke beslissingen zijn doorslaggevend, niet formele bestuurslocatie.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➡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Toepassing: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Voor een echte verplaatsing moet het bestuur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daadwerkelijk vanuit Dubai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worden gevoerd (vergaderingen, besluiten, administratie, personeel).</w:t>
      </w:r>
    </w:p>
    <w:p w:rsidR="00980DCE" w:rsidRPr="00980DCE" w:rsidRDefault="00980DCE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5</w:t>
      </w:r>
      <w:r w:rsidRPr="00980DC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️⃣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HvJ EU 12 september 2006, C-196/04 (Cadbury Schweppes)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structuur is toegestaan binnen de EU als er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reële economische activiteiten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zijn.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980DCE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➡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Buiten EU (zoals Dubai) geldt vergelijkbare toets op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substance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fraus legis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980DCE" w:rsidRPr="00980DCE" w:rsidRDefault="00980DCE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980DC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💰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7. Gevolgen voor de conserverende aanslag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Bij emigratie van de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natuurlijke persoon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(de aandeelhouder) naar Dubai:</w:t>
      </w:r>
    </w:p>
    <w:p w:rsidR="00980DCE" w:rsidRPr="00980DCE" w:rsidRDefault="00980DCE" w:rsidP="00980DC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Er wordt 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conserverende aanslag opgelegd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over de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aanmerkelijkbelangwinst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(art. 4.16 lid 1 sub h Wet IB 2001).</w:t>
      </w:r>
    </w:p>
    <w:p w:rsidR="00980DCE" w:rsidRPr="00980DCE" w:rsidRDefault="00980DCE" w:rsidP="00980DC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waarde van de aandelen in de Nederlandse holding op het moment van emigratie geldt als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verkoopwaarde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980DCE" w:rsidRPr="00980DCE" w:rsidRDefault="00980DCE" w:rsidP="00980DC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Er is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uitstel van betaling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mogelijk op grond van art. 25 Invorderingswet 1990.</w:t>
      </w:r>
    </w:p>
    <w:p w:rsidR="00980DCE" w:rsidRPr="00980DCE" w:rsidRDefault="00980DCE" w:rsidP="00980DC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aanslag vervalt na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10 jaar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tenzij er:</w:t>
      </w:r>
    </w:p>
    <w:p w:rsidR="00980DCE" w:rsidRPr="00980DCE" w:rsidRDefault="00980DCE" w:rsidP="00980DC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dividenduitkering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wordt gedaan,</w:t>
      </w:r>
    </w:p>
    <w:p w:rsidR="00980DCE" w:rsidRPr="00980DCE" w:rsidRDefault="00980DCE" w:rsidP="00980DC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aandelen worden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verkocht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</w:t>
      </w:r>
    </w:p>
    <w:p w:rsidR="00980DCE" w:rsidRPr="00980DCE" w:rsidRDefault="00980DCE" w:rsidP="00980DC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of 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reorganisatie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plaatsvindt waardoor het Nederlands heffingsrecht vervalt.</w: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Bij emigratie van de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holding (BV)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zelf naar Dubai:</w:t>
      </w:r>
    </w:p>
    <w:p w:rsidR="00980DCE" w:rsidRPr="00980DCE" w:rsidRDefault="00980DCE" w:rsidP="00980DC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BV wordt geconfronteerd met 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exitheffing (art. 15c Wet Vpb)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over haar stille reserves.</w:t>
      </w:r>
    </w:p>
    <w:p w:rsidR="00980DCE" w:rsidRPr="00980DCE" w:rsidRDefault="00980DCE" w:rsidP="00980DC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Ook hier kan onder voorwaarden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uitstel van betaling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worden verleend (art. 25 IW 1990).</w:t>
      </w:r>
    </w:p>
    <w:p w:rsidR="00980DCE" w:rsidRPr="00980DCE" w:rsidRDefault="00980DCE" w:rsidP="00980DC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Dubbelbelasting kan worden voorkomen via het belastingverdrag Nederland–VAE.</w:t>
      </w:r>
    </w:p>
    <w:p w:rsidR="00980DCE" w:rsidRPr="00980DCE" w:rsidRDefault="00CA7C55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A7C55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9" alt="" style="width:453.15pt;height:.05pt;mso-width-percent:0;mso-height-percent:0;mso-width-percent:0;mso-height-percent:0" o:hrpct="999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980DC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🧭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8. Samenvattende tijdlijn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580"/>
        <w:gridCol w:w="2593"/>
        <w:gridCol w:w="3351"/>
      </w:tblGrid>
      <w:tr w:rsidR="00980DCE" w:rsidRPr="00980DCE" w:rsidTr="00980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lastRenderedPageBreak/>
              <w:t>Fase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Gebeurtenis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Belastinggevolg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Toelichting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Oprichting Dubai Ltd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Nieuwe buitenlandse entiteit opgericht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Emigratie aandeelhouder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Conserverende aanslag (art. 4.16 Wet IB)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Fictieve vervreemding aandelen in NL holding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Inbreng NL holding in Dubai Ltd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Fictieve vervreemding, kan leiden tot invordering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Mogelijk dubbele aanslag zonder fiscale begeleiding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Verplaatsing leiding NL holding naar Dubai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val="en-US"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val="en-US" w:eastAsia="nl-NL"/>
                <w14:ligatures w14:val="none"/>
              </w:rPr>
              <w:t>Exitheffing (art. 15c Wet Vpb)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Belasting over stille reserves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Werkmaatschappij blijft in NL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Vpb-plicht in NL blijft bestaan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Werkzaamheden vinden in Nederland plaats</w:t>
            </w:r>
          </w:p>
        </w:tc>
      </w:tr>
      <w:tr w:rsidR="00980DCE" w:rsidRPr="00980DCE" w:rsidTr="00980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10 jaar na emigratie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Conserverende aanslag vervalt</w:t>
            </w:r>
          </w:p>
        </w:tc>
        <w:tc>
          <w:tcPr>
            <w:tcW w:w="0" w:type="auto"/>
            <w:vAlign w:val="center"/>
            <w:hideMark/>
          </w:tcPr>
          <w:p w:rsidR="00980DCE" w:rsidRPr="00980DCE" w:rsidRDefault="00980DCE" w:rsidP="00980DC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80DC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Indien geen vervreemdingsgebeurtenis plaatsvond</w:t>
            </w:r>
          </w:p>
        </w:tc>
      </w:tr>
    </w:tbl>
    <w:p w:rsidR="00980DCE" w:rsidRPr="00980DCE" w:rsidRDefault="00CA7C55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A7C55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8" alt="" style="width:453.15pt;height:.05pt;mso-width-percent:0;mso-height-percent:0;mso-width-percent:0;mso-height-percent:0" o:hrpct="999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980DC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🧠</w:t>
      </w:r>
      <w:r w:rsidRPr="00980D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9. Samenvattende conclusie</w:t>
      </w:r>
    </w:p>
    <w:p w:rsidR="00980DCE" w:rsidRPr="00980DCE" w:rsidRDefault="00980DCE" w:rsidP="00980DC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Nederlandse ondernemer die naar Dubai emigreert en zijn holding onder een Dubai Ltd wil brengen, moet rekening houden met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fictieve vervreemdingen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exitheffingen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substance-eisen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kern is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werkelijke verplaatsing van leiding en zeggenschap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niet alleen formele oprichting.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Zonder echte substance in Dubai (bestuur, administratie, beslissingen) loopt men het risico dat Nederland blijft heffen alsof er nooit iets verplaatst is.</w:t>
      </w:r>
    </w:p>
    <w:p w:rsidR="00980DCE" w:rsidRPr="00980DCE" w:rsidRDefault="00CA7C55" w:rsidP="00980DC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A7C55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7" alt="" style="width:453.15pt;height:.05pt;mso-width-percent:0;mso-height-percent:0;mso-width-percent:0;mso-height-percent:0" o:hrpct="999" o:hralign="center" o:hrstd="t" o:hr="t" fillcolor="#a0a0a0" stroked="f"/>
        </w:pict>
      </w:r>
    </w:p>
    <w:p w:rsidR="00980DCE" w:rsidRPr="00980DCE" w:rsidRDefault="00980DCE" w:rsidP="00980D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Wil je dat ik dit scenario omzet in een </w:t>
      </w:r>
      <w:r w:rsidRPr="00980DC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grafische tijdlijn of juridische flowchart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(visueel schema met stappen, fiscale gevolgen en relevante wetsartikelen)?</w:t>
      </w:r>
      <w:r w:rsidRPr="00980DC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Dat zou ideaal zijn voor AI-trainingsvisualisaties, bijvoorbeeld in een HTML of interactieve SVG-vorm.</w:t>
      </w:r>
    </w:p>
    <w:p w:rsidR="00980DCE" w:rsidRPr="00980DCE" w:rsidRDefault="00980DCE"/>
    <w:sectPr w:rsidR="00980DCE" w:rsidRPr="00980DCE" w:rsidSect="00017EE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563C9"/>
    <w:multiLevelType w:val="multilevel"/>
    <w:tmpl w:val="B442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B394F"/>
    <w:multiLevelType w:val="multilevel"/>
    <w:tmpl w:val="7A6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A0A21"/>
    <w:multiLevelType w:val="multilevel"/>
    <w:tmpl w:val="9682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A1830"/>
    <w:multiLevelType w:val="multilevel"/>
    <w:tmpl w:val="634A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E52A3"/>
    <w:multiLevelType w:val="multilevel"/>
    <w:tmpl w:val="E25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52900"/>
    <w:multiLevelType w:val="multilevel"/>
    <w:tmpl w:val="427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394056">
    <w:abstractNumId w:val="0"/>
  </w:num>
  <w:num w:numId="2" w16cid:durableId="885796358">
    <w:abstractNumId w:val="4"/>
  </w:num>
  <w:num w:numId="3" w16cid:durableId="1886873642">
    <w:abstractNumId w:val="2"/>
  </w:num>
  <w:num w:numId="4" w16cid:durableId="1315375782">
    <w:abstractNumId w:val="3"/>
  </w:num>
  <w:num w:numId="5" w16cid:durableId="794450504">
    <w:abstractNumId w:val="5"/>
  </w:num>
  <w:num w:numId="6" w16cid:durableId="106700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CE"/>
    <w:rsid w:val="00017EE2"/>
    <w:rsid w:val="00094D1F"/>
    <w:rsid w:val="001C5DB1"/>
    <w:rsid w:val="00980DCE"/>
    <w:rsid w:val="00CA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7869D"/>
  <w15:chartTrackingRefBased/>
  <w15:docId w15:val="{C91516A6-EE5D-D14A-B779-983A31D8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link w:val="Kop2Char"/>
    <w:uiPriority w:val="9"/>
    <w:qFormat/>
    <w:rsid w:val="00980DC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nl-NL"/>
      <w14:ligatures w14:val="none"/>
    </w:rPr>
  </w:style>
  <w:style w:type="paragraph" w:styleId="Kop3">
    <w:name w:val="heading 3"/>
    <w:basedOn w:val="Standaard"/>
    <w:link w:val="Kop3Char"/>
    <w:uiPriority w:val="9"/>
    <w:qFormat/>
    <w:rsid w:val="00980DC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980DCE"/>
    <w:rPr>
      <w:rFonts w:ascii="Times New Roman" w:eastAsia="Times New Roman" w:hAnsi="Times New Roman" w:cs="Times New Roman"/>
      <w:b/>
      <w:bCs/>
      <w:kern w:val="0"/>
      <w:sz w:val="36"/>
      <w:szCs w:val="36"/>
      <w:lang w:eastAsia="nl-NL"/>
      <w14:ligatures w14:val="none"/>
    </w:rPr>
  </w:style>
  <w:style w:type="character" w:customStyle="1" w:styleId="Kop3Char">
    <w:name w:val="Kop 3 Char"/>
    <w:basedOn w:val="Standaardalinea-lettertype"/>
    <w:link w:val="Kop3"/>
    <w:uiPriority w:val="9"/>
    <w:rsid w:val="00980DCE"/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paragraph" w:styleId="Normaalweb">
    <w:name w:val="Normal (Web)"/>
    <w:basedOn w:val="Standaard"/>
    <w:uiPriority w:val="99"/>
    <w:semiHidden/>
    <w:unhideWhenUsed/>
    <w:rsid w:val="00980DC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980DCE"/>
    <w:rPr>
      <w:b/>
      <w:bCs/>
    </w:rPr>
  </w:style>
  <w:style w:type="character" w:styleId="Nadruk">
    <w:name w:val="Emphasis"/>
    <w:basedOn w:val="Standaardalinea-lettertype"/>
    <w:uiPriority w:val="20"/>
    <w:qFormat/>
    <w:rsid w:val="00980D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7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6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1235</Words>
  <Characters>6794</Characters>
  <Application>Microsoft Office Word</Application>
  <DocSecurity>0</DocSecurity>
  <Lines>56</Lines>
  <Paragraphs>16</Paragraphs>
  <ScaleCrop>false</ScaleCrop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2025-10-28T19:53:00Z</dcterms:created>
  <dcterms:modified xsi:type="dcterms:W3CDTF">2025-10-28T19:54:00Z</dcterms:modified>
</cp:coreProperties>
</file>