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23AD" w14:textId="77777777" w:rsidR="0050259A" w:rsidRPr="0050259A" w:rsidRDefault="0050259A" w:rsidP="0050259A">
      <w:r w:rsidRPr="0050259A">
        <w:t>The official Netherlands Corporate Income Tax (</w:t>
      </w:r>
      <w:proofErr w:type="spellStart"/>
      <w:r w:rsidRPr="0050259A">
        <w:t>Vennootschapsbelasting</w:t>
      </w:r>
      <w:proofErr w:type="spellEnd"/>
      <w:r w:rsidRPr="0050259A">
        <w:t>) rates for 2025 remain unchanged from previous years. The standard rate is 25.8%, with a lower rate of 19% applying to profits up to the SME bracket threshold of €200,000. No major amendments to these brackets or percentages have been officially announced for 2025 compared to 2024.</w:t>
      </w:r>
      <w:hyperlink r:id="rId5" w:tgtFrame="_blank" w:history="1">
        <w:r w:rsidRPr="0050259A">
          <w:rPr>
            <w:rStyle w:val="Hyperlink"/>
          </w:rPr>
          <w:t>taxsummaries.pwc+5</w:t>
        </w:r>
      </w:hyperlink>
      <w:r w:rsidRPr="0050259A">
        <w:t>​</w:t>
      </w:r>
    </w:p>
    <w:p w14:paraId="070D8615" w14:textId="77777777" w:rsidR="0050259A" w:rsidRPr="0050259A" w:rsidRDefault="0050259A" w:rsidP="0050259A">
      <w:pPr>
        <w:rPr>
          <w:b/>
          <w:bCs/>
        </w:rPr>
      </w:pPr>
      <w:r w:rsidRPr="0050259A">
        <w:rPr>
          <w:b/>
          <w:bCs/>
        </w:rPr>
        <w:t>2025 Corporate Income Tax Rates and Brackets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03"/>
        <w:gridCol w:w="4597"/>
      </w:tblGrid>
      <w:tr w:rsidR="0050259A" w:rsidRPr="0050259A" w14:paraId="4D1546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2CDD8C20" w14:textId="77777777" w:rsidR="0050259A" w:rsidRPr="0050259A" w:rsidRDefault="0050259A" w:rsidP="0050259A">
            <w:pPr>
              <w:rPr>
                <w:b/>
                <w:bCs/>
              </w:rPr>
            </w:pPr>
            <w:r w:rsidRPr="0050259A">
              <w:rPr>
                <w:b/>
                <w:bCs/>
              </w:rPr>
              <w:t>Taxable Profit Bracket</w:t>
            </w:r>
          </w:p>
        </w:tc>
        <w:tc>
          <w:tcPr>
            <w:tcW w:w="0" w:type="auto"/>
            <w:tcBorders>
              <w:top w:val="single" w:sz="2" w:space="0" w:color="auto"/>
              <w:left w:val="single" w:sz="2" w:space="0" w:color="auto"/>
              <w:bottom w:val="single" w:sz="6" w:space="0" w:color="auto"/>
              <w:right w:val="single" w:sz="6" w:space="0" w:color="auto"/>
            </w:tcBorders>
            <w:hideMark/>
          </w:tcPr>
          <w:p w14:paraId="4A557FD1" w14:textId="77777777" w:rsidR="0050259A" w:rsidRPr="0050259A" w:rsidRDefault="0050259A" w:rsidP="0050259A">
            <w:pPr>
              <w:rPr>
                <w:b/>
                <w:bCs/>
              </w:rPr>
            </w:pPr>
            <w:r w:rsidRPr="0050259A">
              <w:rPr>
                <w:b/>
                <w:bCs/>
              </w:rPr>
              <w:t>CIT Rate (2025)</w:t>
            </w:r>
          </w:p>
        </w:tc>
      </w:tr>
      <w:tr w:rsidR="0050259A" w:rsidRPr="0050259A" w14:paraId="37C75FB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447F4B7" w14:textId="77777777" w:rsidR="0050259A" w:rsidRPr="0050259A" w:rsidRDefault="0050259A" w:rsidP="0050259A">
            <w:r w:rsidRPr="0050259A">
              <w:t>Up to €200,000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783D677" w14:textId="77777777" w:rsidR="0050259A" w:rsidRPr="0050259A" w:rsidRDefault="0050259A" w:rsidP="0050259A">
            <w:r w:rsidRPr="0050259A">
              <w:t>19%</w:t>
            </w:r>
          </w:p>
        </w:tc>
      </w:tr>
      <w:tr w:rsidR="0050259A" w:rsidRPr="0050259A" w14:paraId="2D0EA8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6B0743A" w14:textId="77777777" w:rsidR="0050259A" w:rsidRPr="0050259A" w:rsidRDefault="0050259A" w:rsidP="0050259A">
            <w:r w:rsidRPr="0050259A">
              <w:t>Above €200,000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A67D977" w14:textId="77777777" w:rsidR="0050259A" w:rsidRPr="0050259A" w:rsidRDefault="0050259A" w:rsidP="0050259A">
            <w:r w:rsidRPr="0050259A">
              <w:t>25.8%</w:t>
            </w:r>
          </w:p>
        </w:tc>
      </w:tr>
    </w:tbl>
    <w:p w14:paraId="2673B896" w14:textId="77777777" w:rsidR="0050259A" w:rsidRPr="0050259A" w:rsidRDefault="0050259A" w:rsidP="0050259A">
      <w:pPr>
        <w:numPr>
          <w:ilvl w:val="0"/>
          <w:numId w:val="1"/>
        </w:numPr>
      </w:pPr>
      <w:r w:rsidRPr="0050259A">
        <w:t>The €200,000 lower rate threshold (for SMEs and the first profit bracket) is unchanged from 2024.</w:t>
      </w:r>
      <w:hyperlink r:id="rId6" w:tgtFrame="_blank" w:history="1">
        <w:r w:rsidRPr="0050259A">
          <w:rPr>
            <w:rStyle w:val="Hyperlink"/>
          </w:rPr>
          <w:t>kvk+2</w:t>
        </w:r>
      </w:hyperlink>
      <w:r w:rsidRPr="0050259A">
        <w:t>​</w:t>
      </w:r>
    </w:p>
    <w:p w14:paraId="407D0B37" w14:textId="77777777" w:rsidR="0050259A" w:rsidRPr="0050259A" w:rsidRDefault="0050259A" w:rsidP="0050259A">
      <w:pPr>
        <w:numPr>
          <w:ilvl w:val="0"/>
          <w:numId w:val="1"/>
        </w:numPr>
      </w:pPr>
      <w:r w:rsidRPr="0050259A">
        <w:t>The standard rate for taxable profits above €200,000 remains at 25.8%.</w:t>
      </w:r>
      <w:hyperlink r:id="rId7" w:tgtFrame="_blank" w:history="1">
        <w:r w:rsidRPr="0050259A">
          <w:rPr>
            <w:rStyle w:val="Hyperlink"/>
          </w:rPr>
          <w:t>practiceguides.chambers+2</w:t>
        </w:r>
      </w:hyperlink>
      <w:r w:rsidRPr="0050259A">
        <w:t>​</w:t>
      </w:r>
    </w:p>
    <w:p w14:paraId="182403B7" w14:textId="77777777" w:rsidR="0050259A" w:rsidRPr="0050259A" w:rsidRDefault="0050259A" w:rsidP="0050259A">
      <w:pPr>
        <w:numPr>
          <w:ilvl w:val="0"/>
          <w:numId w:val="1"/>
        </w:numPr>
      </w:pPr>
      <w:r w:rsidRPr="0050259A">
        <w:t>There are no new announced changes to these corporate income tax rates or brackets for 2025 compared to 2024.</w:t>
      </w:r>
      <w:hyperlink r:id="rId8" w:tgtFrame="_blank" w:history="1">
        <w:r w:rsidRPr="0050259A">
          <w:rPr>
            <w:rStyle w:val="Hyperlink"/>
          </w:rPr>
          <w:t>nortonrosefulbright+1</w:t>
        </w:r>
      </w:hyperlink>
      <w:r w:rsidRPr="0050259A">
        <w:t>​</w:t>
      </w:r>
    </w:p>
    <w:p w14:paraId="38AF48F1" w14:textId="77777777" w:rsidR="0050259A" w:rsidRPr="0050259A" w:rsidRDefault="0050259A" w:rsidP="0050259A">
      <w:pPr>
        <w:rPr>
          <w:b/>
          <w:bCs/>
        </w:rPr>
      </w:pPr>
      <w:r w:rsidRPr="0050259A">
        <w:rPr>
          <w:b/>
          <w:bCs/>
        </w:rPr>
        <w:t>Official Announcements Compared to 2024</w:t>
      </w:r>
    </w:p>
    <w:p w14:paraId="378E07A3" w14:textId="77777777" w:rsidR="0050259A" w:rsidRPr="0050259A" w:rsidRDefault="0050259A" w:rsidP="0050259A">
      <w:pPr>
        <w:numPr>
          <w:ilvl w:val="0"/>
          <w:numId w:val="2"/>
        </w:numPr>
      </w:pPr>
      <w:r w:rsidRPr="0050259A">
        <w:t>The 2025 Tax Plan and several official government releases confirm the rates and thresholds for 2025 are identical to those of 2024. No new rate hikes or threshold adjustments have been introduced for regular CIT.</w:t>
      </w:r>
      <w:hyperlink r:id="rId9" w:tgtFrame="_blank" w:history="1">
        <w:r w:rsidRPr="0050259A">
          <w:rPr>
            <w:rStyle w:val="Hyperlink"/>
          </w:rPr>
          <w:t>wlp-law+2</w:t>
        </w:r>
      </w:hyperlink>
      <w:r w:rsidRPr="0050259A">
        <w:t>​</w:t>
      </w:r>
    </w:p>
    <w:p w14:paraId="5EC7D9FF" w14:textId="77777777" w:rsidR="0050259A" w:rsidRPr="0050259A" w:rsidRDefault="0050259A" w:rsidP="0050259A">
      <w:pPr>
        <w:numPr>
          <w:ilvl w:val="0"/>
          <w:numId w:val="2"/>
        </w:numPr>
      </w:pPr>
      <w:r w:rsidRPr="0050259A">
        <w:t>Legislative and fiscal changes in 2025 mainly concern deductibility and technical adjustments, but they do not affect the headline CIT rates or brackets.</w:t>
      </w:r>
      <w:hyperlink r:id="rId10" w:tgtFrame="_blank" w:history="1">
        <w:r w:rsidRPr="0050259A">
          <w:rPr>
            <w:rStyle w:val="Hyperlink"/>
          </w:rPr>
          <w:t>wlp-law+1</w:t>
        </w:r>
      </w:hyperlink>
      <w:r w:rsidRPr="0050259A">
        <w:t>​</w:t>
      </w:r>
    </w:p>
    <w:p w14:paraId="3402E70D" w14:textId="77777777" w:rsidR="0050259A" w:rsidRPr="0050259A" w:rsidRDefault="0050259A" w:rsidP="0050259A">
      <w:pPr>
        <w:numPr>
          <w:ilvl w:val="0"/>
          <w:numId w:val="2"/>
        </w:numPr>
      </w:pPr>
      <w:r w:rsidRPr="0050259A">
        <w:t>Special regimes (innovation, participation exemptions, etc.) are not included in this summary, which focuses on the main rates.</w:t>
      </w:r>
    </w:p>
    <w:p w14:paraId="6E66A846" w14:textId="77777777" w:rsidR="0050259A" w:rsidRPr="0050259A" w:rsidRDefault="0050259A" w:rsidP="0050259A">
      <w:r w:rsidRPr="0050259A">
        <w:t>These figures are officially published by entities such as the Dutch Ministry of Finance and are widely confirmed in leading fiscal summaries and tax advisories for 2025.</w:t>
      </w:r>
    </w:p>
    <w:p w14:paraId="796F3F4E" w14:textId="77777777" w:rsidR="0050259A" w:rsidRDefault="0050259A"/>
    <w:sectPr w:rsidR="00502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234"/>
    <w:multiLevelType w:val="multilevel"/>
    <w:tmpl w:val="7D7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4F294C"/>
    <w:multiLevelType w:val="multilevel"/>
    <w:tmpl w:val="F3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9612664">
    <w:abstractNumId w:val="1"/>
  </w:num>
  <w:num w:numId="2" w16cid:durableId="85079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9A"/>
    <w:rsid w:val="002654B0"/>
    <w:rsid w:val="00502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238B"/>
  <w15:chartTrackingRefBased/>
  <w15:docId w15:val="{71F9BA34-48EE-4C85-B9BD-25E81D458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9A"/>
    <w:rPr>
      <w:rFonts w:eastAsiaTheme="majorEastAsia" w:cstheme="majorBidi"/>
      <w:color w:val="272727" w:themeColor="text1" w:themeTint="D8"/>
    </w:rPr>
  </w:style>
  <w:style w:type="paragraph" w:styleId="Title">
    <w:name w:val="Title"/>
    <w:basedOn w:val="Normal"/>
    <w:next w:val="Normal"/>
    <w:link w:val="TitleChar"/>
    <w:uiPriority w:val="10"/>
    <w:qFormat/>
    <w:rsid w:val="00502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9A"/>
    <w:pPr>
      <w:spacing w:before="160"/>
      <w:jc w:val="center"/>
    </w:pPr>
    <w:rPr>
      <w:i/>
      <w:iCs/>
      <w:color w:val="404040" w:themeColor="text1" w:themeTint="BF"/>
    </w:rPr>
  </w:style>
  <w:style w:type="character" w:customStyle="1" w:styleId="QuoteChar">
    <w:name w:val="Quote Char"/>
    <w:basedOn w:val="DefaultParagraphFont"/>
    <w:link w:val="Quote"/>
    <w:uiPriority w:val="29"/>
    <w:rsid w:val="0050259A"/>
    <w:rPr>
      <w:i/>
      <w:iCs/>
      <w:color w:val="404040" w:themeColor="text1" w:themeTint="BF"/>
    </w:rPr>
  </w:style>
  <w:style w:type="paragraph" w:styleId="ListParagraph">
    <w:name w:val="List Paragraph"/>
    <w:basedOn w:val="Normal"/>
    <w:uiPriority w:val="34"/>
    <w:qFormat/>
    <w:rsid w:val="0050259A"/>
    <w:pPr>
      <w:ind w:left="720"/>
      <w:contextualSpacing/>
    </w:pPr>
  </w:style>
  <w:style w:type="character" w:styleId="IntenseEmphasis">
    <w:name w:val="Intense Emphasis"/>
    <w:basedOn w:val="DefaultParagraphFont"/>
    <w:uiPriority w:val="21"/>
    <w:qFormat/>
    <w:rsid w:val="0050259A"/>
    <w:rPr>
      <w:i/>
      <w:iCs/>
      <w:color w:val="2F5496" w:themeColor="accent1" w:themeShade="BF"/>
    </w:rPr>
  </w:style>
  <w:style w:type="paragraph" w:styleId="IntenseQuote">
    <w:name w:val="Intense Quote"/>
    <w:basedOn w:val="Normal"/>
    <w:next w:val="Normal"/>
    <w:link w:val="IntenseQuoteChar"/>
    <w:uiPriority w:val="30"/>
    <w:qFormat/>
    <w:rsid w:val="00502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59A"/>
    <w:rPr>
      <w:i/>
      <w:iCs/>
      <w:color w:val="2F5496" w:themeColor="accent1" w:themeShade="BF"/>
    </w:rPr>
  </w:style>
  <w:style w:type="character" w:styleId="IntenseReference">
    <w:name w:val="Intense Reference"/>
    <w:basedOn w:val="DefaultParagraphFont"/>
    <w:uiPriority w:val="32"/>
    <w:qFormat/>
    <w:rsid w:val="0050259A"/>
    <w:rPr>
      <w:b/>
      <w:bCs/>
      <w:smallCaps/>
      <w:color w:val="2F5496" w:themeColor="accent1" w:themeShade="BF"/>
      <w:spacing w:val="5"/>
    </w:rPr>
  </w:style>
  <w:style w:type="character" w:styleId="Hyperlink">
    <w:name w:val="Hyperlink"/>
    <w:basedOn w:val="DefaultParagraphFont"/>
    <w:uiPriority w:val="99"/>
    <w:unhideWhenUsed/>
    <w:rsid w:val="0050259A"/>
    <w:rPr>
      <w:color w:val="0563C1" w:themeColor="hyperlink"/>
      <w:u w:val="single"/>
    </w:rPr>
  </w:style>
  <w:style w:type="character" w:styleId="UnresolvedMention">
    <w:name w:val="Unresolved Mention"/>
    <w:basedOn w:val="DefaultParagraphFont"/>
    <w:uiPriority w:val="99"/>
    <w:semiHidden/>
    <w:unhideWhenUsed/>
    <w:rsid w:val="00502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onrosefulbright.com/es-419/knowledge/publications/f9ed12ce/the-2025-dutch-tax-plan-impact-on-businesses" TargetMode="External"/><Relationship Id="rId3" Type="http://schemas.openxmlformats.org/officeDocument/2006/relationships/settings" Target="settings.xml"/><Relationship Id="rId7" Type="http://schemas.openxmlformats.org/officeDocument/2006/relationships/hyperlink" Target="https://practiceguides.chambers.com/practice-guides/corporate-tax-2025/netherlan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vk.nl/en/finance/dutch-tax-rates-2025/" TargetMode="External"/><Relationship Id="rId11" Type="http://schemas.openxmlformats.org/officeDocument/2006/relationships/fontTable" Target="fontTable.xml"/><Relationship Id="rId5" Type="http://schemas.openxmlformats.org/officeDocument/2006/relationships/hyperlink" Target="https://taxsummaries.pwc.com/netherlands/corporate/taxes-on-corporate-income" TargetMode="External"/><Relationship Id="rId10" Type="http://schemas.openxmlformats.org/officeDocument/2006/relationships/hyperlink" Target="https://wlp-law.com/en/tax-update-2025/" TargetMode="External"/><Relationship Id="rId4" Type="http://schemas.openxmlformats.org/officeDocument/2006/relationships/webSettings" Target="webSettings.xml"/><Relationship Id="rId9" Type="http://schemas.openxmlformats.org/officeDocument/2006/relationships/hyperlink" Target="https://wlp-law.com/en/tax-update-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LAXMAN NALLA</dc:creator>
  <cp:keywords/>
  <dc:description/>
  <cp:lastModifiedBy>LAXMAN NALLA</cp:lastModifiedBy>
  <cp:revision>1</cp:revision>
  <dcterms:created xsi:type="dcterms:W3CDTF">2025-11-09T14:24:00Z</dcterms:created>
  <dcterms:modified xsi:type="dcterms:W3CDTF">2025-11-09T14:24:00Z</dcterms:modified>
</cp:coreProperties>
</file>