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9A3E" w14:textId="77777777" w:rsidR="00EC388D" w:rsidRDefault="00EC388D" w:rsidP="00EC388D">
      <w:r>
        <w:t>SUBJECT: Guide to Netherlands Holding Company Regimes &amp; Transfer Pricing (2025)</w:t>
      </w:r>
    </w:p>
    <w:p w14:paraId="40C6E4E9" w14:textId="77777777" w:rsidR="00EC388D" w:rsidRDefault="00EC388D" w:rsidP="00EC388D"/>
    <w:p w14:paraId="294894D0" w14:textId="77777777" w:rsidR="00EC388D" w:rsidRDefault="00EC388D" w:rsidP="00EC388D">
      <w:r>
        <w:t>PART 1: HOLDING REGIME (PARTICIPATION EXEMPTION)</w:t>
      </w:r>
    </w:p>
    <w:p w14:paraId="6081C50E" w14:textId="77777777" w:rsidR="00EC388D" w:rsidRDefault="00EC388D" w:rsidP="00EC388D">
      <w:r>
        <w:t>The "</w:t>
      </w:r>
      <w:proofErr w:type="spellStart"/>
      <w:r>
        <w:t>Deelnemingsvrijstelling</w:t>
      </w:r>
      <w:proofErr w:type="spellEnd"/>
      <w:r>
        <w:t>" is a cornerstone of Dutch tax law.</w:t>
      </w:r>
    </w:p>
    <w:p w14:paraId="6D718D97" w14:textId="77777777" w:rsidR="00EC388D" w:rsidRDefault="00EC388D" w:rsidP="00EC388D"/>
    <w:p w14:paraId="3851BC16" w14:textId="77777777" w:rsidR="00EC388D" w:rsidRDefault="00EC388D" w:rsidP="00EC388D">
      <w:r>
        <w:t>1. Exemption Scope:</w:t>
      </w:r>
    </w:p>
    <w:p w14:paraId="32A976ED" w14:textId="77777777" w:rsidR="00EC388D" w:rsidRDefault="00EC388D" w:rsidP="00EC388D">
      <w:r>
        <w:t>* **</w:t>
      </w:r>
      <w:proofErr w:type="gramStart"/>
      <w:r>
        <w:t>Dividends:*</w:t>
      </w:r>
      <w:proofErr w:type="gramEnd"/>
      <w:r>
        <w:t>* 100% exempt from Corporate Income Tax (CIT).</w:t>
      </w:r>
    </w:p>
    <w:p w14:paraId="2A444142" w14:textId="77777777" w:rsidR="00EC388D" w:rsidRDefault="00EC388D" w:rsidP="00EC388D">
      <w:r>
        <w:t xml:space="preserve">* **Capital </w:t>
      </w:r>
      <w:proofErr w:type="gramStart"/>
      <w:r>
        <w:t>Gains:*</w:t>
      </w:r>
      <w:proofErr w:type="gramEnd"/>
      <w:r>
        <w:t>* 100% exempt from CIT.</w:t>
      </w:r>
    </w:p>
    <w:p w14:paraId="17884EAE" w14:textId="77777777" w:rsidR="00EC388D" w:rsidRDefault="00EC388D" w:rsidP="00EC388D">
      <w:r>
        <w:t>* Note: Capital *losses* (e.g., on liquidation of a subsidiary) are generally *not* deductible.</w:t>
      </w:r>
    </w:p>
    <w:p w14:paraId="633F2A8C" w14:textId="77777777" w:rsidR="00EC388D" w:rsidRDefault="00EC388D" w:rsidP="00EC388D"/>
    <w:p w14:paraId="095025B0" w14:textId="77777777" w:rsidR="00EC388D" w:rsidRDefault="00EC388D" w:rsidP="00EC388D">
      <w:r>
        <w:t>2. Qualifying Criteria (The "Gatekeepers"):</w:t>
      </w:r>
    </w:p>
    <w:p w14:paraId="62C288D5" w14:textId="77777777" w:rsidR="00EC388D" w:rsidRDefault="00EC388D" w:rsidP="00EC388D">
      <w:r>
        <w:t xml:space="preserve">* **Minimum </w:t>
      </w:r>
      <w:proofErr w:type="gramStart"/>
      <w:r>
        <w:t>Ownership:*</w:t>
      </w:r>
      <w:proofErr w:type="gramEnd"/>
      <w:r>
        <w:t>* The Dutch parent company must own at least 5% of the subsidiary's nominal paid-up capital.</w:t>
      </w:r>
    </w:p>
    <w:p w14:paraId="5C08408C" w14:textId="77777777" w:rsidR="00EC388D" w:rsidRDefault="00EC388D" w:rsidP="00EC388D">
      <w:r>
        <w:t xml:space="preserve">* **Motive </w:t>
      </w:r>
      <w:proofErr w:type="gramStart"/>
      <w:r>
        <w:t>Test:*</w:t>
      </w:r>
      <w:proofErr w:type="gramEnd"/>
      <w:r>
        <w:t>* One of the following must be true:</w:t>
      </w:r>
    </w:p>
    <w:p w14:paraId="43A12DA6" w14:textId="77777777" w:rsidR="00EC388D" w:rsidRDefault="00EC388D" w:rsidP="00EC388D">
      <w:r>
        <w:t xml:space="preserve">    * **Sufficient Tax </w:t>
      </w:r>
      <w:proofErr w:type="gramStart"/>
      <w:r>
        <w:t>Test:*</w:t>
      </w:r>
      <w:proofErr w:type="gramEnd"/>
      <w:r>
        <w:t>* The subsidiary is subject to a "genuine" profit tax of at least 10% in its home country; OR</w:t>
      </w:r>
    </w:p>
    <w:p w14:paraId="19611DA3" w14:textId="77777777" w:rsidR="00EC388D" w:rsidRDefault="00EC388D" w:rsidP="00EC388D">
      <w:r>
        <w:t xml:space="preserve">    * **Asset </w:t>
      </w:r>
      <w:proofErr w:type="gramStart"/>
      <w:r>
        <w:t>Test:*</w:t>
      </w:r>
      <w:proofErr w:type="gramEnd"/>
      <w:r>
        <w:t>* Less than 50% of the subsidiary's assets consist of passive "low-taxed portfolio investments."</w:t>
      </w:r>
    </w:p>
    <w:p w14:paraId="3DBAB202" w14:textId="77777777" w:rsidR="00EC388D" w:rsidRDefault="00EC388D" w:rsidP="00EC388D"/>
    <w:p w14:paraId="3E4BCE9E" w14:textId="77777777" w:rsidR="00EC388D" w:rsidRDefault="00EC388D" w:rsidP="00EC388D">
      <w:r>
        <w:t>3. Costs &amp; Deductions:</w:t>
      </w:r>
    </w:p>
    <w:p w14:paraId="7D425FB5" w14:textId="77777777" w:rsidR="00EC388D" w:rsidRDefault="00EC388D" w:rsidP="00EC388D">
      <w:r>
        <w:t>* Costs related to the *acquisition* or *sale* of a participation (e.g., advisory fees) are NOT deductible.</w:t>
      </w:r>
    </w:p>
    <w:p w14:paraId="765E9A90" w14:textId="77777777" w:rsidR="00EC388D" w:rsidRDefault="00EC388D" w:rsidP="00EC388D">
      <w:r>
        <w:t>* Interest on loans used to *finance* the acquisition of a subsidiary *is* generally deductible, subject to the ATAD rules below.</w:t>
      </w:r>
    </w:p>
    <w:p w14:paraId="265C713D" w14:textId="77777777" w:rsidR="00EC388D" w:rsidRDefault="00EC388D" w:rsidP="00EC388D"/>
    <w:p w14:paraId="4370EC6E" w14:textId="77777777" w:rsidR="00EC388D" w:rsidRDefault="00EC388D" w:rsidP="00EC388D">
      <w:r>
        <w:t>PART 2: TRANSFER PRICING (TP) COMPLIANCE (2025 RULES)</w:t>
      </w:r>
    </w:p>
    <w:p w14:paraId="5E2B056F" w14:textId="77777777" w:rsidR="00EC388D" w:rsidRDefault="00EC388D" w:rsidP="00EC388D">
      <w:r>
        <w:t>All intercompany transactions must be at "Arm's Length" (market rate).</w:t>
      </w:r>
    </w:p>
    <w:p w14:paraId="337C6C7C" w14:textId="77777777" w:rsidR="00EC388D" w:rsidRDefault="00EC388D" w:rsidP="00EC388D"/>
    <w:p w14:paraId="475A9FDF" w14:textId="77777777" w:rsidR="00EC388D" w:rsidRDefault="00EC388D" w:rsidP="00EC388D">
      <w:r>
        <w:t>1. Documentation Thresholds:</w:t>
      </w:r>
    </w:p>
    <w:p w14:paraId="7AB40B25" w14:textId="77777777" w:rsidR="00EC388D" w:rsidRDefault="00EC388D" w:rsidP="00EC388D">
      <w:r>
        <w:lastRenderedPageBreak/>
        <w:t xml:space="preserve">* **Master File &amp; Local </w:t>
      </w:r>
      <w:proofErr w:type="gramStart"/>
      <w:r>
        <w:t>File:*</w:t>
      </w:r>
      <w:proofErr w:type="gramEnd"/>
      <w:r>
        <w:t>* Mandatory for multinational groups with a consolidated turnover of **€50 million or more**.</w:t>
      </w:r>
    </w:p>
    <w:p w14:paraId="681C822D" w14:textId="77777777" w:rsidR="00EC388D" w:rsidRDefault="00EC388D" w:rsidP="00EC388D">
      <w:r>
        <w:t>* **</w:t>
      </w:r>
      <w:proofErr w:type="gramStart"/>
      <w:r>
        <w:t>SMEs:*</w:t>
      </w:r>
      <w:proofErr w:type="gramEnd"/>
      <w:r>
        <w:t>* Companies below this threshold are exempt from the formal Master/Local file requirement but *must* still ensure their pricing is at arm's length and have documentation to prove it upon request.</w:t>
      </w:r>
    </w:p>
    <w:p w14:paraId="28BADC61" w14:textId="77777777" w:rsidR="00EC388D" w:rsidRDefault="00EC388D" w:rsidP="00EC388D"/>
    <w:p w14:paraId="23A53B86" w14:textId="77777777" w:rsidR="00EC388D" w:rsidRDefault="00EC388D" w:rsidP="00EC388D">
      <w:r>
        <w:t>2. Filing vs. Keeping on Record:</w:t>
      </w:r>
    </w:p>
    <w:p w14:paraId="14E945B2" w14:textId="77777777" w:rsidR="00EC388D" w:rsidRDefault="00EC388D" w:rsidP="00EC388D">
      <w:r>
        <w:t>* TP documentation does not need to be submitted *with* the tax return.</w:t>
      </w:r>
    </w:p>
    <w:p w14:paraId="5423721D" w14:textId="77777777" w:rsidR="00EC388D" w:rsidRDefault="00EC388D" w:rsidP="00EC388D">
      <w:r>
        <w:t>* It must be finalized *before* the tax return is filed and kept on record in case of an audit.</w:t>
      </w:r>
    </w:p>
    <w:p w14:paraId="6EDDA211" w14:textId="77777777" w:rsidR="00EC388D" w:rsidRDefault="00EC388D" w:rsidP="00EC388D"/>
    <w:p w14:paraId="479F56B8" w14:textId="77777777" w:rsidR="00EC388D" w:rsidRDefault="00EC388D" w:rsidP="00EC388D">
      <w:r>
        <w:t>3. Penalties &amp; Risk:</w:t>
      </w:r>
    </w:p>
    <w:p w14:paraId="46CEA417" w14:textId="77777777" w:rsidR="00EC388D" w:rsidRDefault="00EC388D" w:rsidP="00EC388D">
      <w:r>
        <w:t>* Failure to provide compliant documentation can result in a reversal of the burden of proof, allowing the tax inspector to estimate your income.</w:t>
      </w:r>
    </w:p>
    <w:p w14:paraId="0079D8A2" w14:textId="77777777" w:rsidR="00EC388D" w:rsidRDefault="00EC388D" w:rsidP="00EC388D">
      <w:r>
        <w:t>* Fines can be significant, up to €900,000 for severe non-compliance.</w:t>
      </w:r>
    </w:p>
    <w:p w14:paraId="5D785CE5" w14:textId="77777777" w:rsidR="00EC388D" w:rsidRDefault="00EC388D" w:rsidP="00EC388D"/>
    <w:p w14:paraId="6D90B72C" w14:textId="77777777" w:rsidR="00EC388D" w:rsidRDefault="00EC388D" w:rsidP="00EC388D">
      <w:r>
        <w:t>PART 3: SUBSTANCE &amp; ANTI-ABUSE (ATAD)</w:t>
      </w:r>
    </w:p>
    <w:p w14:paraId="63D0138F" w14:textId="77777777" w:rsidR="00EC388D" w:rsidRDefault="00EC388D" w:rsidP="00EC388D">
      <w:r>
        <w:t>1. Local Substance Requirements:</w:t>
      </w:r>
    </w:p>
    <w:p w14:paraId="408B4977" w14:textId="77777777" w:rsidR="00EC388D" w:rsidRDefault="00EC388D" w:rsidP="00EC388D">
      <w:r>
        <w:t>* To be considered a resident for tax treaty purposes and avoid anti-abuse rules, a Dutch holding company needs real substance. Minimum requirements include:</w:t>
      </w:r>
    </w:p>
    <w:p w14:paraId="3A8E1F04" w14:textId="77777777" w:rsidR="00EC388D" w:rsidRDefault="00EC388D" w:rsidP="00EC388D">
      <w:r>
        <w:t xml:space="preserve">    * At least 50% of its board members must be Dutch residents.</w:t>
      </w:r>
    </w:p>
    <w:p w14:paraId="7948AC8C" w14:textId="77777777" w:rsidR="00EC388D" w:rsidRDefault="00EC388D" w:rsidP="00EC388D">
      <w:r>
        <w:t xml:space="preserve">    * Board decisions must be made in the Netherlands.</w:t>
      </w:r>
    </w:p>
    <w:p w14:paraId="74107DBA" w14:textId="77777777" w:rsidR="00EC388D" w:rsidRDefault="00EC388D" w:rsidP="00EC388D">
      <w:r>
        <w:t xml:space="preserve">    * The company must have a registered office and basic administrative functions in the Netherlands.</w:t>
      </w:r>
    </w:p>
    <w:p w14:paraId="37B446FA" w14:textId="77777777" w:rsidR="00EC388D" w:rsidRDefault="00EC388D" w:rsidP="00EC388D"/>
    <w:p w14:paraId="1A13A8C8" w14:textId="77777777" w:rsidR="00EC388D" w:rsidRDefault="00EC388D" w:rsidP="00EC388D">
      <w:r>
        <w:t>2. Interest Deduction Limitation (ATAD Earning Stripping):</w:t>
      </w:r>
    </w:p>
    <w:p w14:paraId="7F3ED0D3" w14:textId="77777777" w:rsidR="00EC388D" w:rsidRDefault="00EC388D" w:rsidP="00EC388D">
      <w:r>
        <w:t>* As of 2025, net interest expenses are only deductible up to the *higher* of:</w:t>
      </w:r>
    </w:p>
    <w:p w14:paraId="27DE3C7E" w14:textId="77777777" w:rsidR="00EC388D" w:rsidRDefault="00EC388D" w:rsidP="00EC388D">
      <w:r>
        <w:t xml:space="preserve">    1.  **€1 million** (a "safe </w:t>
      </w:r>
      <w:proofErr w:type="spellStart"/>
      <w:r>
        <w:t>harbor</w:t>
      </w:r>
      <w:proofErr w:type="spellEnd"/>
      <w:r>
        <w:t>" threshold).</w:t>
      </w:r>
    </w:p>
    <w:p w14:paraId="13C381C5" w14:textId="77777777" w:rsidR="00EC388D" w:rsidRDefault="00EC388D" w:rsidP="00EC388D">
      <w:r>
        <w:t xml:space="preserve">    2.  **20%** of the company's "tax-EBITDA" (Earnings Before Interest, Taxes, Depreciation, and Amortization).</w:t>
      </w:r>
    </w:p>
    <w:p w14:paraId="1F888DC3" w14:textId="4E562DCB" w:rsidR="00EC388D" w:rsidRPr="00EC388D" w:rsidRDefault="00EC388D" w:rsidP="00EC388D">
      <w:r>
        <w:t xml:space="preserve">    *(Note: The 20% rate is the 2025 standard, check for any last-minute legislative changes</w:t>
      </w:r>
      <w:proofErr w:type="gramStart"/>
      <w:r>
        <w:t>).*</w:t>
      </w:r>
      <w:proofErr w:type="gramEnd"/>
    </w:p>
    <w:sectPr w:rsidR="00EC388D" w:rsidRPr="00EC3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8D"/>
    <w:rsid w:val="008F13FB"/>
    <w:rsid w:val="00EC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B25F5"/>
  <w15:chartTrackingRefBased/>
  <w15:docId w15:val="{A1436CDA-E1C3-45EC-9FD6-A603EBE7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2025-11-11T09:16:00Z</dcterms:created>
  <dcterms:modified xsi:type="dcterms:W3CDTF">2025-11-11T09:20:00Z</dcterms:modified>
</cp:coreProperties>
</file>