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53F7" w:rsidRPr="00790F70" w:rsidRDefault="006853F7" w:rsidP="006853F7">
      <w:pPr>
        <w:rPr>
          <w:rFonts w:ascii="Calibri" w:hAnsi="Calibri" w:cs="Calibri"/>
          <w:lang w:val="nl-NL"/>
        </w:rPr>
      </w:pPr>
      <w:r w:rsidRPr="00790F70">
        <w:rPr>
          <w:rFonts w:ascii="Calibri" w:hAnsi="Calibri" w:cs="Calibri"/>
          <w:lang w:val="nl-NL"/>
        </w:rPr>
        <w:t>Eerst is het belangrijk om te weten wanneer een natuurlijk persoon in Nederland belastingplichtig is.</w:t>
      </w:r>
    </w:p>
    <w:p w:rsidR="006853F7" w:rsidRPr="00790F70" w:rsidRDefault="006853F7" w:rsidP="006853F7">
      <w:pPr>
        <w:rPr>
          <w:rFonts w:ascii="Calibri" w:hAnsi="Calibri" w:cs="Calibri"/>
          <w:lang w:val="nl-NL"/>
        </w:rPr>
      </w:pPr>
    </w:p>
    <w:p w:rsidR="006853F7" w:rsidRPr="00790F70" w:rsidRDefault="006853F7" w:rsidP="006853F7">
      <w:pPr>
        <w:rPr>
          <w:rFonts w:ascii="Calibri" w:hAnsi="Calibri" w:cs="Calibri"/>
          <w:lang w:val="nl-NL"/>
        </w:rPr>
      </w:pPr>
      <w:r w:rsidRPr="00790F70">
        <w:rPr>
          <w:rFonts w:ascii="Calibri" w:hAnsi="Calibri" w:cs="Calibri"/>
          <w:lang w:val="nl-NL"/>
        </w:rPr>
        <w:t>Op grond van artikel 4 lid 1 AWR wordt ‘’naar de feiten en omstandigheden beoordeeld’’ waar een persoon woonachtig is en waar een lichaam is gevestigd. Dit is een open norm die in de loop der jaren steeds beter is ingevuld door jurisprudentie. Voor natuurlijke personen is dit anders dan voor lichamen (BV en NV), hieronder licht ik beide kort toe.</w:t>
      </w:r>
    </w:p>
    <w:p w:rsidR="00094D1F" w:rsidRDefault="00094D1F">
      <w:pPr>
        <w:rPr>
          <w:lang w:val="nl-NL"/>
        </w:rPr>
      </w:pPr>
    </w:p>
    <w:p w:rsidR="006853F7" w:rsidRPr="006853F7" w:rsidRDefault="006853F7" w:rsidP="006853F7">
      <w:p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 xml:space="preserve">Goed — laten we de onderdelen </w:t>
      </w:r>
      <w:r w:rsidRPr="006853F7">
        <w:rPr>
          <w:rFonts w:ascii="Times New Roman" w:eastAsia="Times New Roman" w:hAnsi="Times New Roman" w:cs="Times New Roman"/>
          <w:b/>
          <w:bCs/>
          <w:sz w:val="24"/>
          <w:szCs w:val="24"/>
          <w:lang w:val="nl-NL"/>
        </w:rPr>
        <w:t>wettelijk kader</w:t>
      </w:r>
      <w:r w:rsidRPr="006853F7">
        <w:rPr>
          <w:rFonts w:ascii="Times New Roman" w:eastAsia="Times New Roman" w:hAnsi="Times New Roman" w:cs="Times New Roman"/>
          <w:sz w:val="24"/>
          <w:szCs w:val="24"/>
          <w:lang w:val="nl-NL"/>
        </w:rPr>
        <w:t xml:space="preserve"> en </w:t>
      </w:r>
      <w:r w:rsidRPr="006853F7">
        <w:rPr>
          <w:rFonts w:ascii="Times New Roman" w:eastAsia="Times New Roman" w:hAnsi="Times New Roman" w:cs="Times New Roman"/>
          <w:b/>
          <w:bCs/>
          <w:sz w:val="24"/>
          <w:szCs w:val="24"/>
          <w:lang w:val="nl-NL"/>
        </w:rPr>
        <w:t>jurisprudentie</w:t>
      </w:r>
      <w:r w:rsidRPr="006853F7">
        <w:rPr>
          <w:rFonts w:ascii="Times New Roman" w:eastAsia="Times New Roman" w:hAnsi="Times New Roman" w:cs="Times New Roman"/>
          <w:sz w:val="24"/>
          <w:szCs w:val="24"/>
          <w:lang w:val="nl-NL"/>
        </w:rPr>
        <w:t xml:space="preserve"> voor het woonplaatsbegrip bij een natuurlijke persoon uitwerken, met specifieke aandacht voor Algemene wet inzake rijksbelastingen (AWR) art. 4 lid 1 én de relevante rechtspraak. Ik merk echter op dat ik </w:t>
      </w:r>
      <w:r w:rsidRPr="006853F7">
        <w:rPr>
          <w:rFonts w:ascii="Times New Roman" w:eastAsia="Times New Roman" w:hAnsi="Times New Roman" w:cs="Times New Roman"/>
          <w:b/>
          <w:bCs/>
          <w:sz w:val="24"/>
          <w:szCs w:val="24"/>
          <w:lang w:val="nl-NL"/>
        </w:rPr>
        <w:t>niet</w:t>
      </w:r>
      <w:r w:rsidRPr="006853F7">
        <w:rPr>
          <w:rFonts w:ascii="Times New Roman" w:eastAsia="Times New Roman" w:hAnsi="Times New Roman" w:cs="Times New Roman"/>
          <w:sz w:val="24"/>
          <w:szCs w:val="24"/>
          <w:lang w:val="nl-NL"/>
        </w:rPr>
        <w:t xml:space="preserve"> kon vinden dat R.E.C.M. </w:t>
      </w:r>
      <w:proofErr w:type="spellStart"/>
      <w:r w:rsidRPr="006853F7">
        <w:rPr>
          <w:rFonts w:ascii="Times New Roman" w:eastAsia="Times New Roman" w:hAnsi="Times New Roman" w:cs="Times New Roman"/>
          <w:sz w:val="24"/>
          <w:szCs w:val="24"/>
          <w:lang w:val="nl-NL"/>
        </w:rPr>
        <w:t>Niessen</w:t>
      </w:r>
      <w:proofErr w:type="spellEnd"/>
      <w:r w:rsidRPr="006853F7">
        <w:rPr>
          <w:rFonts w:ascii="Times New Roman" w:eastAsia="Times New Roman" w:hAnsi="Times New Roman" w:cs="Times New Roman"/>
          <w:sz w:val="24"/>
          <w:szCs w:val="24"/>
          <w:lang w:val="nl-NL"/>
        </w:rPr>
        <w:t xml:space="preserve"> (A-G </w:t>
      </w:r>
      <w:proofErr w:type="spellStart"/>
      <w:r w:rsidRPr="006853F7">
        <w:rPr>
          <w:rFonts w:ascii="Times New Roman" w:eastAsia="Times New Roman" w:hAnsi="Times New Roman" w:cs="Times New Roman"/>
          <w:sz w:val="24"/>
          <w:szCs w:val="24"/>
          <w:lang w:val="nl-NL"/>
        </w:rPr>
        <w:t>Niessen</w:t>
      </w:r>
      <w:proofErr w:type="spellEnd"/>
      <w:r w:rsidRPr="006853F7">
        <w:rPr>
          <w:rFonts w:ascii="Times New Roman" w:eastAsia="Times New Roman" w:hAnsi="Times New Roman" w:cs="Times New Roman"/>
          <w:sz w:val="24"/>
          <w:szCs w:val="24"/>
          <w:lang w:val="nl-NL"/>
        </w:rPr>
        <w:t xml:space="preserve">) exact in een zaak heeft geconcludeerd dat “de belanghebbende vier dagen te laat cassatieberoep instelde” in een woonplaatszaak; ik vond wel een A-G </w:t>
      </w:r>
      <w:proofErr w:type="spellStart"/>
      <w:r w:rsidRPr="006853F7">
        <w:rPr>
          <w:rFonts w:ascii="Times New Roman" w:eastAsia="Times New Roman" w:hAnsi="Times New Roman" w:cs="Times New Roman"/>
          <w:sz w:val="24"/>
          <w:szCs w:val="24"/>
          <w:lang w:val="nl-NL"/>
        </w:rPr>
        <w:t>Niessen</w:t>
      </w:r>
      <w:proofErr w:type="spellEnd"/>
      <w:r w:rsidRPr="006853F7">
        <w:rPr>
          <w:rFonts w:ascii="Times New Roman" w:eastAsia="Times New Roman" w:hAnsi="Times New Roman" w:cs="Times New Roman"/>
          <w:sz w:val="24"/>
          <w:szCs w:val="24"/>
          <w:lang w:val="nl-NL"/>
        </w:rPr>
        <w:t xml:space="preserve">-zaak maar niet met deze exacte feitelijke omschrijving. We kunnen daarom de memo voorzien met de bekende jurisprudentie en de AWR-tekst, én ik stel voor dat we de A-G-zaak als </w:t>
      </w:r>
      <w:r w:rsidRPr="006853F7">
        <w:rPr>
          <w:rFonts w:ascii="Times New Roman" w:eastAsia="Times New Roman" w:hAnsi="Times New Roman" w:cs="Times New Roman"/>
          <w:b/>
          <w:bCs/>
          <w:sz w:val="24"/>
          <w:szCs w:val="24"/>
          <w:lang w:val="nl-NL"/>
        </w:rPr>
        <w:t>niet bevestigd</w:t>
      </w:r>
      <w:r w:rsidRPr="006853F7">
        <w:rPr>
          <w:rFonts w:ascii="Times New Roman" w:eastAsia="Times New Roman" w:hAnsi="Times New Roman" w:cs="Times New Roman"/>
          <w:sz w:val="24"/>
          <w:szCs w:val="24"/>
          <w:lang w:val="nl-NL"/>
        </w:rPr>
        <w:t xml:space="preserve"> opnemen — of verder onderzoek verrichten.</w:t>
      </w:r>
    </w:p>
    <w:p w:rsidR="006853F7" w:rsidRPr="006853F7" w:rsidRDefault="00221A90" w:rsidP="006853F7">
      <w:pPr>
        <w:spacing w:line="240" w:lineRule="auto"/>
        <w:rPr>
          <w:rFonts w:ascii="Times New Roman" w:eastAsia="Times New Roman" w:hAnsi="Times New Roman" w:cs="Times New Roman"/>
          <w:sz w:val="24"/>
          <w:szCs w:val="24"/>
          <w:lang w:val="nl-NL"/>
        </w:rPr>
      </w:pPr>
      <w:r>
        <w:rPr>
          <w:noProof/>
        </w:rPr>
      </w:r>
      <w:r>
        <w:pict w14:anchorId="7F106174">
          <v:rect id="Horizontal Line 1" o:spid="_x0000_s103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Pr="006853F7" w:rsidRDefault="006853F7" w:rsidP="006853F7">
      <w:pPr>
        <w:spacing w:before="100" w:beforeAutospacing="1" w:after="100" w:afterAutospacing="1" w:line="240" w:lineRule="auto"/>
        <w:outlineLvl w:val="1"/>
        <w:rPr>
          <w:rFonts w:ascii="Times New Roman" w:eastAsia="Times New Roman" w:hAnsi="Times New Roman" w:cs="Times New Roman"/>
          <w:b/>
          <w:bCs/>
          <w:sz w:val="36"/>
          <w:szCs w:val="36"/>
          <w:lang w:val="nl-NL"/>
        </w:rPr>
      </w:pPr>
      <w:r w:rsidRPr="006853F7">
        <w:rPr>
          <w:rFonts w:ascii="Times New Roman" w:eastAsia="Times New Roman" w:hAnsi="Times New Roman" w:cs="Times New Roman"/>
          <w:b/>
          <w:bCs/>
          <w:sz w:val="36"/>
          <w:szCs w:val="36"/>
          <w:lang w:val="nl-NL"/>
        </w:rPr>
        <w:t>Wettelijk kader</w:t>
      </w:r>
    </w:p>
    <w:p w:rsidR="006853F7" w:rsidRPr="006853F7" w:rsidRDefault="006853F7" w:rsidP="006853F7">
      <w:pPr>
        <w:spacing w:before="100" w:beforeAutospacing="1" w:after="100" w:afterAutospacing="1" w:line="240" w:lineRule="auto"/>
        <w:outlineLvl w:val="2"/>
        <w:rPr>
          <w:rFonts w:ascii="Times New Roman" w:eastAsia="Times New Roman" w:hAnsi="Times New Roman" w:cs="Times New Roman"/>
          <w:b/>
          <w:bCs/>
          <w:sz w:val="27"/>
          <w:szCs w:val="27"/>
          <w:lang w:val="nl-NL"/>
        </w:rPr>
      </w:pPr>
      <w:r w:rsidRPr="006853F7">
        <w:rPr>
          <w:rFonts w:ascii="Times New Roman" w:eastAsia="Times New Roman" w:hAnsi="Times New Roman" w:cs="Times New Roman"/>
          <w:b/>
          <w:bCs/>
          <w:sz w:val="27"/>
          <w:szCs w:val="27"/>
          <w:lang w:val="nl-NL"/>
        </w:rPr>
        <w:t>Artikel 4 lid 1 AWR</w:t>
      </w:r>
    </w:p>
    <w:p w:rsidR="006853F7" w:rsidRPr="006853F7" w:rsidRDefault="006853F7" w:rsidP="006853F7">
      <w:p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In artikel 4 lid 1 van de AWR is opgenomen:</w:t>
      </w:r>
    </w:p>
    <w:p w:rsidR="006853F7" w:rsidRPr="006853F7" w:rsidRDefault="006853F7" w:rsidP="006853F7">
      <w:pPr>
        <w:spacing w:beforeAutospacing="1"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 xml:space="preserve">“Waar iemand woont en waar een lichaam is gevestigd, wordt </w:t>
      </w:r>
      <w:r w:rsidRPr="006853F7">
        <w:rPr>
          <w:rFonts w:ascii="Times New Roman" w:eastAsia="Times New Roman" w:hAnsi="Times New Roman" w:cs="Times New Roman"/>
          <w:b/>
          <w:bCs/>
          <w:sz w:val="24"/>
          <w:szCs w:val="24"/>
          <w:lang w:val="nl-NL"/>
        </w:rPr>
        <w:t>naar de omstandigheden beoordeeld</w:t>
      </w:r>
      <w:r w:rsidRPr="006853F7">
        <w:rPr>
          <w:rFonts w:ascii="Times New Roman" w:eastAsia="Times New Roman" w:hAnsi="Times New Roman" w:cs="Times New Roman"/>
          <w:sz w:val="24"/>
          <w:szCs w:val="24"/>
          <w:lang w:val="nl-NL"/>
        </w:rPr>
        <w:t>.” (</w:t>
      </w:r>
      <w:proofErr w:type="spellStart"/>
      <w:r w:rsidRPr="006853F7">
        <w:rPr>
          <w:rFonts w:ascii="Times New Roman" w:eastAsia="Times New Roman" w:hAnsi="Times New Roman" w:cs="Times New Roman"/>
          <w:sz w:val="24"/>
          <w:szCs w:val="24"/>
          <w:lang w:val="nl-NL"/>
        </w:rPr>
        <w:fldChar w:fldCharType="begin"/>
      </w:r>
      <w:r w:rsidRPr="006853F7">
        <w:rPr>
          <w:rFonts w:ascii="Times New Roman" w:eastAsia="Times New Roman" w:hAnsi="Times New Roman" w:cs="Times New Roman"/>
          <w:sz w:val="24"/>
          <w:szCs w:val="24"/>
          <w:lang w:val="nl-NL"/>
        </w:rPr>
        <w:instrText>HYPERLINK "https://maxius.nl/algemene-wet-inzake-rijksbelastingen/artikel4/lid1?utm_source=chatgpt.com" \o "Art. 4 lid 1 AWR - Artikel 4 lid 1 Algemene wet inzake rijksbelastingen :: Maxius.nl voorheen Lexius.nl"</w:instrText>
      </w:r>
      <w:r w:rsidRPr="006853F7">
        <w:rPr>
          <w:rFonts w:ascii="Times New Roman" w:eastAsia="Times New Roman" w:hAnsi="Times New Roman" w:cs="Times New Roman"/>
          <w:sz w:val="24"/>
          <w:szCs w:val="24"/>
          <w:lang w:val="nl-NL"/>
        </w:rPr>
      </w:r>
      <w:r w:rsidRPr="006853F7">
        <w:rPr>
          <w:rFonts w:ascii="Times New Roman" w:eastAsia="Times New Roman" w:hAnsi="Times New Roman" w:cs="Times New Roman"/>
          <w:sz w:val="24"/>
          <w:szCs w:val="24"/>
          <w:lang w:val="nl-NL"/>
        </w:rPr>
        <w:fldChar w:fldCharType="separate"/>
      </w:r>
      <w:r w:rsidRPr="006853F7">
        <w:rPr>
          <w:rFonts w:ascii="Times New Roman" w:eastAsia="Times New Roman" w:hAnsi="Times New Roman" w:cs="Times New Roman"/>
          <w:color w:val="0000FF"/>
          <w:sz w:val="24"/>
          <w:szCs w:val="24"/>
          <w:u w:val="single"/>
          <w:lang w:val="nl-NL"/>
        </w:rPr>
        <w:t>Maxius</w:t>
      </w:r>
      <w:proofErr w:type="spellEnd"/>
      <w:r w:rsidRPr="006853F7">
        <w:rPr>
          <w:rFonts w:ascii="Times New Roman" w:eastAsia="Times New Roman" w:hAnsi="Times New Roman" w:cs="Times New Roman"/>
          <w:sz w:val="24"/>
          <w:szCs w:val="24"/>
          <w:lang w:val="nl-NL"/>
        </w:rPr>
        <w:fldChar w:fldCharType="end"/>
      </w:r>
      <w:r w:rsidRPr="006853F7">
        <w:rPr>
          <w:rFonts w:ascii="Times New Roman" w:eastAsia="Times New Roman" w:hAnsi="Times New Roman" w:cs="Times New Roman"/>
          <w:sz w:val="24"/>
          <w:szCs w:val="24"/>
          <w:lang w:val="nl-NL"/>
        </w:rPr>
        <w:t>)</w:t>
      </w:r>
      <w:r w:rsidRPr="006853F7">
        <w:rPr>
          <w:rFonts w:ascii="Times New Roman" w:eastAsia="Times New Roman" w:hAnsi="Times New Roman" w:cs="Times New Roman"/>
          <w:sz w:val="24"/>
          <w:szCs w:val="24"/>
          <w:lang w:val="nl-NL"/>
        </w:rPr>
        <w:br/>
        <w:t>Dit betekent dat voor de fiscale woonplaats van een natuurlijk persoon de wet geen eenduidige definitie geeft, maar een open systematiek: men moet kijken naar de feitelijke omstandigheden van het geval. (</w:t>
      </w:r>
      <w:proofErr w:type="spellStart"/>
      <w:r w:rsidRPr="006853F7">
        <w:rPr>
          <w:rFonts w:ascii="Times New Roman" w:eastAsia="Times New Roman" w:hAnsi="Times New Roman" w:cs="Times New Roman"/>
          <w:sz w:val="24"/>
          <w:szCs w:val="24"/>
          <w:lang w:val="nl-NL"/>
        </w:rPr>
        <w:fldChar w:fldCharType="begin"/>
      </w:r>
      <w:r w:rsidRPr="006853F7">
        <w:rPr>
          <w:rFonts w:ascii="Times New Roman" w:eastAsia="Times New Roman" w:hAnsi="Times New Roman" w:cs="Times New Roman"/>
          <w:sz w:val="24"/>
          <w:szCs w:val="24"/>
          <w:lang w:val="nl-NL"/>
        </w:rPr>
        <w:instrText>HYPERLINK "https://www.inview.nl/document/inodb7cc45f5c3ea9e61dab84c986da6372a/hr-02-06-2006-nr-41-394?utm_source=chatgpt.com" \o "HR, 02-06-2006, nr. 41 394 | InView"</w:instrText>
      </w:r>
      <w:r w:rsidRPr="006853F7">
        <w:rPr>
          <w:rFonts w:ascii="Times New Roman" w:eastAsia="Times New Roman" w:hAnsi="Times New Roman" w:cs="Times New Roman"/>
          <w:sz w:val="24"/>
          <w:szCs w:val="24"/>
          <w:lang w:val="nl-NL"/>
        </w:rPr>
      </w:r>
      <w:r w:rsidRPr="006853F7">
        <w:rPr>
          <w:rFonts w:ascii="Times New Roman" w:eastAsia="Times New Roman" w:hAnsi="Times New Roman" w:cs="Times New Roman"/>
          <w:sz w:val="24"/>
          <w:szCs w:val="24"/>
          <w:lang w:val="nl-NL"/>
        </w:rPr>
        <w:fldChar w:fldCharType="separate"/>
      </w:r>
      <w:r w:rsidRPr="006853F7">
        <w:rPr>
          <w:rFonts w:ascii="Times New Roman" w:eastAsia="Times New Roman" w:hAnsi="Times New Roman" w:cs="Times New Roman"/>
          <w:color w:val="0000FF"/>
          <w:sz w:val="24"/>
          <w:szCs w:val="24"/>
          <w:u w:val="single"/>
          <w:lang w:val="nl-NL"/>
        </w:rPr>
        <w:t>InView</w:t>
      </w:r>
      <w:proofErr w:type="spellEnd"/>
      <w:r w:rsidRPr="006853F7">
        <w:rPr>
          <w:rFonts w:ascii="Times New Roman" w:eastAsia="Times New Roman" w:hAnsi="Times New Roman" w:cs="Times New Roman"/>
          <w:sz w:val="24"/>
          <w:szCs w:val="24"/>
          <w:lang w:val="nl-NL"/>
        </w:rPr>
        <w:fldChar w:fldCharType="end"/>
      </w:r>
      <w:r w:rsidRPr="006853F7">
        <w:rPr>
          <w:rFonts w:ascii="Times New Roman" w:eastAsia="Times New Roman" w:hAnsi="Times New Roman" w:cs="Times New Roman"/>
          <w:sz w:val="24"/>
          <w:szCs w:val="24"/>
          <w:lang w:val="nl-NL"/>
        </w:rPr>
        <w:t>)</w:t>
      </w:r>
      <w:r w:rsidRPr="006853F7">
        <w:rPr>
          <w:rFonts w:ascii="Times New Roman" w:eastAsia="Times New Roman" w:hAnsi="Times New Roman" w:cs="Times New Roman"/>
          <w:sz w:val="24"/>
          <w:szCs w:val="24"/>
          <w:lang w:val="nl-NL"/>
        </w:rPr>
        <w:br/>
        <w:t>De “woonplaats” in fiscale zin wordt vervolgens gebruikt voor de vaststelling van de binnenlandse belastingplicht van een natuurlijk persoon (zie art. 2.1 lid 1 sub a Wet IB 2001) — namelijk: wie in Nederland woont, is binnenlands belastingplichtig op zijn wereldinkomen. (</w:t>
      </w:r>
      <w:hyperlink r:id="rId5" w:tooltip="Samenvatting Nederlands Internationaal belastingrecht TAX3008 - Samenvatting Nederlands - Studeersnel" w:history="1">
        <w:r w:rsidRPr="006853F7">
          <w:rPr>
            <w:rFonts w:ascii="Times New Roman" w:eastAsia="Times New Roman" w:hAnsi="Times New Roman" w:cs="Times New Roman"/>
            <w:color w:val="0000FF"/>
            <w:sz w:val="24"/>
            <w:szCs w:val="24"/>
            <w:u w:val="single"/>
            <w:lang w:val="nl-NL"/>
          </w:rPr>
          <w:t>Studeersnel</w:t>
        </w:r>
      </w:hyperlink>
      <w:r w:rsidRPr="006853F7">
        <w:rPr>
          <w:rFonts w:ascii="Times New Roman" w:eastAsia="Times New Roman" w:hAnsi="Times New Roman" w:cs="Times New Roman"/>
          <w:sz w:val="24"/>
          <w:szCs w:val="24"/>
          <w:lang w:val="nl-NL"/>
        </w:rPr>
        <w:t>)</w:t>
      </w:r>
    </w:p>
    <w:p w:rsidR="006853F7" w:rsidRPr="006853F7" w:rsidRDefault="006853F7" w:rsidP="006853F7">
      <w:pPr>
        <w:spacing w:before="100" w:beforeAutospacing="1" w:after="100" w:afterAutospacing="1" w:line="240" w:lineRule="auto"/>
        <w:outlineLvl w:val="2"/>
        <w:rPr>
          <w:rFonts w:ascii="Times New Roman" w:eastAsia="Times New Roman" w:hAnsi="Times New Roman" w:cs="Times New Roman"/>
          <w:b/>
          <w:bCs/>
          <w:sz w:val="27"/>
          <w:szCs w:val="27"/>
          <w:lang w:val="nl-NL"/>
        </w:rPr>
      </w:pPr>
      <w:r w:rsidRPr="006853F7">
        <w:rPr>
          <w:rFonts w:ascii="Times New Roman" w:eastAsia="Times New Roman" w:hAnsi="Times New Roman" w:cs="Times New Roman"/>
          <w:b/>
          <w:bCs/>
          <w:sz w:val="27"/>
          <w:szCs w:val="27"/>
          <w:lang w:val="nl-NL"/>
        </w:rPr>
        <w:t>Kernbegrippen uit de rechtspraak</w:t>
      </w:r>
    </w:p>
    <w:p w:rsidR="006853F7" w:rsidRPr="006853F7" w:rsidRDefault="006853F7" w:rsidP="006853F7">
      <w:p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 xml:space="preserve">Volgens vaste rechtspraak van de Hoge Raad der Nederlanden (“HR”) betekent art. 4 lid 1 AWR dat je moet toetsen of er “een duurzame band van persoonlijke aard” bestaat tussen de belanghebbende en Nederland. </w:t>
      </w:r>
      <w:r w:rsidRPr="006853F7">
        <w:rPr>
          <w:rFonts w:ascii="Times New Roman" w:eastAsia="Times New Roman" w:hAnsi="Times New Roman" w:cs="Times New Roman"/>
          <w:sz w:val="24"/>
          <w:szCs w:val="24"/>
          <w:lang w:val="nl-NL"/>
        </w:rPr>
        <w:br/>
        <w:t>Belangrijke punten:</w:t>
      </w:r>
    </w:p>
    <w:p w:rsidR="006853F7" w:rsidRPr="006853F7" w:rsidRDefault="006853F7" w:rsidP="006853F7">
      <w:pPr>
        <w:numPr>
          <w:ilvl w:val="0"/>
          <w:numId w:val="1"/>
        </w:num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 xml:space="preserve">Die band hoeft </w:t>
      </w:r>
      <w:r w:rsidRPr="006853F7">
        <w:rPr>
          <w:rFonts w:ascii="Times New Roman" w:eastAsia="Times New Roman" w:hAnsi="Times New Roman" w:cs="Times New Roman"/>
          <w:b/>
          <w:bCs/>
          <w:sz w:val="24"/>
          <w:szCs w:val="24"/>
          <w:lang w:val="nl-NL"/>
        </w:rPr>
        <w:t>niet sterker</w:t>
      </w:r>
      <w:r w:rsidRPr="006853F7">
        <w:rPr>
          <w:rFonts w:ascii="Times New Roman" w:eastAsia="Times New Roman" w:hAnsi="Times New Roman" w:cs="Times New Roman"/>
          <w:sz w:val="24"/>
          <w:szCs w:val="24"/>
          <w:lang w:val="nl-NL"/>
        </w:rPr>
        <w:t xml:space="preserve"> te zijn dan een band met een ander land: zelfs als de betrokkene een belangrijke band heeft met het buitenland, kan toch Nederland fiscale woonplaats zijn. </w:t>
      </w:r>
    </w:p>
    <w:p w:rsidR="006853F7" w:rsidRPr="006853F7" w:rsidRDefault="006853F7" w:rsidP="006853F7">
      <w:pPr>
        <w:numPr>
          <w:ilvl w:val="0"/>
          <w:numId w:val="1"/>
        </w:num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Het “middelpunt van iemands maatschappelijke leven” hoeft niet per se in Nederland te zijn, zolang de duurzame band voldoende is. (</w:t>
      </w:r>
      <w:hyperlink r:id="rId6" w:tooltip="De omstandigheden van artikel 4 lid 1 AWR" w:history="1">
        <w:r w:rsidRPr="006853F7">
          <w:rPr>
            <w:rFonts w:ascii="Times New Roman" w:eastAsia="Times New Roman" w:hAnsi="Times New Roman" w:cs="Times New Roman"/>
            <w:color w:val="0000FF"/>
            <w:sz w:val="24"/>
            <w:szCs w:val="24"/>
            <w:u w:val="single"/>
            <w:lang w:val="nl-NL"/>
          </w:rPr>
          <w:t>estateplanningexpert.nl</w:t>
        </w:r>
      </w:hyperlink>
      <w:r w:rsidRPr="006853F7">
        <w:rPr>
          <w:rFonts w:ascii="Times New Roman" w:eastAsia="Times New Roman" w:hAnsi="Times New Roman" w:cs="Times New Roman"/>
          <w:sz w:val="24"/>
          <w:szCs w:val="24"/>
          <w:lang w:val="nl-NL"/>
        </w:rPr>
        <w:t>)</w:t>
      </w:r>
    </w:p>
    <w:p w:rsidR="006853F7" w:rsidRPr="006853F7" w:rsidRDefault="00221A90" w:rsidP="006853F7">
      <w:pPr>
        <w:spacing w:line="240" w:lineRule="auto"/>
        <w:rPr>
          <w:rFonts w:ascii="Times New Roman" w:eastAsia="Times New Roman" w:hAnsi="Times New Roman" w:cs="Times New Roman"/>
          <w:sz w:val="24"/>
          <w:szCs w:val="24"/>
          <w:lang w:val="nl-NL"/>
        </w:rPr>
      </w:pPr>
      <w:r>
        <w:rPr>
          <w:noProof/>
        </w:rPr>
      </w:r>
      <w:r>
        <w:pict w14:anchorId="2368F0B4">
          <v:rect id="Horizontal Line 2" o:spid="_x0000_s1035"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Pr="006853F7" w:rsidRDefault="006853F7" w:rsidP="006853F7">
      <w:pPr>
        <w:spacing w:before="100" w:beforeAutospacing="1" w:after="100" w:afterAutospacing="1" w:line="240" w:lineRule="auto"/>
        <w:outlineLvl w:val="1"/>
        <w:rPr>
          <w:rFonts w:ascii="Times New Roman" w:eastAsia="Times New Roman" w:hAnsi="Times New Roman" w:cs="Times New Roman"/>
          <w:b/>
          <w:bCs/>
          <w:sz w:val="36"/>
          <w:szCs w:val="36"/>
          <w:lang w:val="nl-NL"/>
        </w:rPr>
      </w:pPr>
      <w:r w:rsidRPr="006853F7">
        <w:rPr>
          <w:rFonts w:ascii="Times New Roman" w:eastAsia="Times New Roman" w:hAnsi="Times New Roman" w:cs="Times New Roman"/>
          <w:b/>
          <w:bCs/>
          <w:sz w:val="36"/>
          <w:szCs w:val="36"/>
          <w:lang w:val="nl-NL"/>
        </w:rPr>
        <w:t>Jurisprudentie – relevante uitspraken</w:t>
      </w:r>
    </w:p>
    <w:p w:rsidR="006853F7" w:rsidRPr="006853F7" w:rsidRDefault="006853F7" w:rsidP="006853F7">
      <w:p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Hieronder een aantal belangrijke uitspraken met betrekking tot het woonplaatsbegrip:</w:t>
      </w:r>
    </w:p>
    <w:p w:rsidR="006853F7" w:rsidRPr="006853F7" w:rsidRDefault="006853F7" w:rsidP="006853F7">
      <w:pPr>
        <w:numPr>
          <w:ilvl w:val="0"/>
          <w:numId w:val="2"/>
        </w:num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Hof ’s</w:t>
      </w:r>
      <w:r w:rsidRPr="006853F7">
        <w:rPr>
          <w:rFonts w:ascii="Times New Roman" w:eastAsia="Times New Roman" w:hAnsi="Times New Roman" w:cs="Times New Roman"/>
          <w:sz w:val="24"/>
          <w:szCs w:val="24"/>
          <w:lang w:val="nl-NL"/>
        </w:rPr>
        <w:noBreakHyphen/>
        <w:t xml:space="preserve">Hertogenbosch &amp; HR, 7 december 2007, ECLI:NL:HR:2007:BA9393. In deze zaak was A-G </w:t>
      </w:r>
      <w:proofErr w:type="spellStart"/>
      <w:r w:rsidRPr="006853F7">
        <w:rPr>
          <w:rFonts w:ascii="Times New Roman" w:eastAsia="Times New Roman" w:hAnsi="Times New Roman" w:cs="Times New Roman"/>
          <w:sz w:val="24"/>
          <w:szCs w:val="24"/>
          <w:lang w:val="nl-NL"/>
        </w:rPr>
        <w:t>Niessen</w:t>
      </w:r>
      <w:proofErr w:type="spellEnd"/>
      <w:r w:rsidRPr="006853F7">
        <w:rPr>
          <w:rFonts w:ascii="Times New Roman" w:eastAsia="Times New Roman" w:hAnsi="Times New Roman" w:cs="Times New Roman"/>
          <w:sz w:val="24"/>
          <w:szCs w:val="24"/>
          <w:lang w:val="nl-NL"/>
        </w:rPr>
        <w:t xml:space="preserve"> betrokken. (</w:t>
      </w:r>
      <w:hyperlink r:id="rId7" w:tooltip="Uitspraak ECLI:NL:HR:2007:BA9393 - Semantius" w:history="1">
        <w:r w:rsidRPr="006853F7">
          <w:rPr>
            <w:rFonts w:ascii="Times New Roman" w:eastAsia="Times New Roman" w:hAnsi="Times New Roman" w:cs="Times New Roman"/>
            <w:color w:val="0000FF"/>
            <w:sz w:val="24"/>
            <w:szCs w:val="24"/>
            <w:u w:val="single"/>
            <w:lang w:val="nl-NL"/>
          </w:rPr>
          <w:t>semantius.nl</w:t>
        </w:r>
      </w:hyperlink>
      <w:r w:rsidRPr="006853F7">
        <w:rPr>
          <w:rFonts w:ascii="Times New Roman" w:eastAsia="Times New Roman" w:hAnsi="Times New Roman" w:cs="Times New Roman"/>
          <w:sz w:val="24"/>
          <w:szCs w:val="24"/>
          <w:lang w:val="nl-NL"/>
        </w:rPr>
        <w:t>)</w:t>
      </w:r>
    </w:p>
    <w:p w:rsidR="006853F7" w:rsidRPr="006853F7" w:rsidRDefault="006853F7" w:rsidP="006853F7">
      <w:pPr>
        <w:numPr>
          <w:ilvl w:val="1"/>
          <w:numId w:val="2"/>
        </w:num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Deze zaak betrof een navorderingsaanslag in de inkomstenbelasting/premie volksverzekeringen. De interesse ligt hier echter minder op het woonplaatsbegrip en meer op de fiscale procedurele aspecten (</w:t>
      </w:r>
      <w:proofErr w:type="spellStart"/>
      <w:r w:rsidRPr="006853F7">
        <w:rPr>
          <w:rFonts w:ascii="Times New Roman" w:eastAsia="Times New Roman" w:hAnsi="Times New Roman" w:cs="Times New Roman"/>
          <w:sz w:val="24"/>
          <w:szCs w:val="24"/>
          <w:lang w:val="nl-NL"/>
        </w:rPr>
        <w:t>terms</w:t>
      </w:r>
      <w:proofErr w:type="spellEnd"/>
      <w:r w:rsidRPr="006853F7">
        <w:rPr>
          <w:rFonts w:ascii="Times New Roman" w:eastAsia="Times New Roman" w:hAnsi="Times New Roman" w:cs="Times New Roman"/>
          <w:sz w:val="24"/>
          <w:szCs w:val="24"/>
          <w:lang w:val="nl-NL"/>
        </w:rPr>
        <w:t xml:space="preserve"> voor cassatie, etc.).</w:t>
      </w:r>
    </w:p>
    <w:p w:rsidR="006853F7" w:rsidRPr="006853F7" w:rsidRDefault="006853F7" w:rsidP="006853F7">
      <w:pPr>
        <w:numPr>
          <w:ilvl w:val="0"/>
          <w:numId w:val="2"/>
        </w:num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HR, 17 april 2020, nr. 19/02021. Hier werd in overweging genomen dat op grond van art. 4 lid 1 AWR geldt dat een natuurlijk persoon zijn woonplaats in Nederland heeft indien hij daarmee “een duurzame band van persoonlijke aard” heeft. (</w:t>
      </w:r>
      <w:proofErr w:type="spellStart"/>
      <w:r w:rsidRPr="006853F7">
        <w:rPr>
          <w:rFonts w:ascii="Times New Roman" w:eastAsia="Times New Roman" w:hAnsi="Times New Roman" w:cs="Times New Roman"/>
          <w:sz w:val="24"/>
          <w:szCs w:val="24"/>
          <w:lang w:val="nl-NL"/>
        </w:rPr>
        <w:fldChar w:fldCharType="begin"/>
      </w:r>
      <w:r w:rsidRPr="006853F7">
        <w:rPr>
          <w:rFonts w:ascii="Times New Roman" w:eastAsia="Times New Roman" w:hAnsi="Times New Roman" w:cs="Times New Roman"/>
          <w:sz w:val="24"/>
          <w:szCs w:val="24"/>
          <w:lang w:val="nl-NL"/>
        </w:rPr>
        <w:instrText>HYPERLINK "https://www.inview.nl/document/ide1005ceecc1842ca8338f2eccf0c890b/hr-17-04-2020-nr-19-02021?utm_source=chatgpt.com" \o "HR, 17-04-2020, nr. 19/02021 | InView"</w:instrText>
      </w:r>
      <w:r w:rsidRPr="006853F7">
        <w:rPr>
          <w:rFonts w:ascii="Times New Roman" w:eastAsia="Times New Roman" w:hAnsi="Times New Roman" w:cs="Times New Roman"/>
          <w:sz w:val="24"/>
          <w:szCs w:val="24"/>
          <w:lang w:val="nl-NL"/>
        </w:rPr>
      </w:r>
      <w:r w:rsidRPr="006853F7">
        <w:rPr>
          <w:rFonts w:ascii="Times New Roman" w:eastAsia="Times New Roman" w:hAnsi="Times New Roman" w:cs="Times New Roman"/>
          <w:sz w:val="24"/>
          <w:szCs w:val="24"/>
          <w:lang w:val="nl-NL"/>
        </w:rPr>
        <w:fldChar w:fldCharType="separate"/>
      </w:r>
      <w:r w:rsidRPr="006853F7">
        <w:rPr>
          <w:rFonts w:ascii="Times New Roman" w:eastAsia="Times New Roman" w:hAnsi="Times New Roman" w:cs="Times New Roman"/>
          <w:color w:val="0000FF"/>
          <w:sz w:val="24"/>
          <w:szCs w:val="24"/>
          <w:u w:val="single"/>
          <w:lang w:val="nl-NL"/>
        </w:rPr>
        <w:t>InView</w:t>
      </w:r>
      <w:proofErr w:type="spellEnd"/>
      <w:r w:rsidRPr="006853F7">
        <w:rPr>
          <w:rFonts w:ascii="Times New Roman" w:eastAsia="Times New Roman" w:hAnsi="Times New Roman" w:cs="Times New Roman"/>
          <w:sz w:val="24"/>
          <w:szCs w:val="24"/>
          <w:lang w:val="nl-NL"/>
        </w:rPr>
        <w:fldChar w:fldCharType="end"/>
      </w:r>
      <w:r w:rsidRPr="006853F7">
        <w:rPr>
          <w:rFonts w:ascii="Times New Roman" w:eastAsia="Times New Roman" w:hAnsi="Times New Roman" w:cs="Times New Roman"/>
          <w:sz w:val="24"/>
          <w:szCs w:val="24"/>
          <w:lang w:val="nl-NL"/>
        </w:rPr>
        <w:t>)</w:t>
      </w:r>
    </w:p>
    <w:p w:rsidR="006853F7" w:rsidRPr="006853F7" w:rsidRDefault="006853F7" w:rsidP="006853F7">
      <w:pPr>
        <w:numPr>
          <w:ilvl w:val="0"/>
          <w:numId w:val="2"/>
        </w:num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ECLI:</w:t>
      </w:r>
      <w:proofErr w:type="gramStart"/>
      <w:r w:rsidRPr="006853F7">
        <w:rPr>
          <w:rFonts w:ascii="Times New Roman" w:eastAsia="Times New Roman" w:hAnsi="Times New Roman" w:cs="Times New Roman"/>
          <w:sz w:val="24"/>
          <w:szCs w:val="24"/>
          <w:lang w:val="nl-NL"/>
        </w:rPr>
        <w:t>NL:RBNHO</w:t>
      </w:r>
      <w:proofErr w:type="gramEnd"/>
      <w:r w:rsidRPr="006853F7">
        <w:rPr>
          <w:rFonts w:ascii="Times New Roman" w:eastAsia="Times New Roman" w:hAnsi="Times New Roman" w:cs="Times New Roman"/>
          <w:sz w:val="24"/>
          <w:szCs w:val="24"/>
          <w:lang w:val="nl-NL"/>
        </w:rPr>
        <w:t>:2016:9047 — hier werd bevestigd dat artikel 4 lid 1 AWR de toets bevat en dat de omstandigheden relevant zijn. (</w:t>
      </w:r>
      <w:hyperlink r:id="rId8" w:tooltip="ECLI:NL:RBNHO:2016:9047 - PONT Zorg&amp;Sociaal" w:history="1">
        <w:r w:rsidRPr="006853F7">
          <w:rPr>
            <w:rFonts w:ascii="Times New Roman" w:eastAsia="Times New Roman" w:hAnsi="Times New Roman" w:cs="Times New Roman"/>
            <w:color w:val="0000FF"/>
            <w:sz w:val="24"/>
            <w:szCs w:val="24"/>
            <w:u w:val="single"/>
            <w:lang w:val="nl-NL"/>
          </w:rPr>
          <w:t>Sociaal Web</w:t>
        </w:r>
      </w:hyperlink>
      <w:r w:rsidRPr="006853F7">
        <w:rPr>
          <w:rFonts w:ascii="Times New Roman" w:eastAsia="Times New Roman" w:hAnsi="Times New Roman" w:cs="Times New Roman"/>
          <w:sz w:val="24"/>
          <w:szCs w:val="24"/>
          <w:lang w:val="nl-NL"/>
        </w:rPr>
        <w:t>)</w:t>
      </w:r>
    </w:p>
    <w:p w:rsidR="006853F7" w:rsidRPr="006853F7" w:rsidRDefault="006853F7" w:rsidP="006853F7">
      <w:pPr>
        <w:spacing w:before="100" w:beforeAutospacing="1" w:after="100" w:afterAutospacing="1" w:line="240" w:lineRule="auto"/>
        <w:outlineLvl w:val="2"/>
        <w:rPr>
          <w:rFonts w:ascii="Times New Roman" w:eastAsia="Times New Roman" w:hAnsi="Times New Roman" w:cs="Times New Roman"/>
          <w:b/>
          <w:bCs/>
          <w:sz w:val="27"/>
          <w:szCs w:val="27"/>
          <w:lang w:val="nl-NL"/>
        </w:rPr>
      </w:pPr>
      <w:r w:rsidRPr="006853F7">
        <w:rPr>
          <w:rFonts w:ascii="Times New Roman" w:eastAsia="Times New Roman" w:hAnsi="Times New Roman" w:cs="Times New Roman"/>
          <w:b/>
          <w:bCs/>
          <w:sz w:val="27"/>
          <w:szCs w:val="27"/>
          <w:lang w:val="nl-NL"/>
        </w:rPr>
        <w:t xml:space="preserve">Over de door jou genoemde conclusie van A-G </w:t>
      </w:r>
      <w:proofErr w:type="spellStart"/>
      <w:r w:rsidRPr="006853F7">
        <w:rPr>
          <w:rFonts w:ascii="Times New Roman" w:eastAsia="Times New Roman" w:hAnsi="Times New Roman" w:cs="Times New Roman"/>
          <w:b/>
          <w:bCs/>
          <w:sz w:val="27"/>
          <w:szCs w:val="27"/>
          <w:lang w:val="nl-NL"/>
        </w:rPr>
        <w:t>Niessen</w:t>
      </w:r>
      <w:proofErr w:type="spellEnd"/>
    </w:p>
    <w:p w:rsidR="006853F7" w:rsidRPr="006853F7" w:rsidRDefault="006853F7" w:rsidP="006853F7">
      <w:p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 xml:space="preserve">Ik heb gezocht op: een zaak waarin A-G </w:t>
      </w:r>
      <w:proofErr w:type="spellStart"/>
      <w:r w:rsidRPr="006853F7">
        <w:rPr>
          <w:rFonts w:ascii="Times New Roman" w:eastAsia="Times New Roman" w:hAnsi="Times New Roman" w:cs="Times New Roman"/>
          <w:sz w:val="24"/>
          <w:szCs w:val="24"/>
          <w:lang w:val="nl-NL"/>
        </w:rPr>
        <w:t>Niessen</w:t>
      </w:r>
      <w:proofErr w:type="spellEnd"/>
      <w:r w:rsidRPr="006853F7">
        <w:rPr>
          <w:rFonts w:ascii="Times New Roman" w:eastAsia="Times New Roman" w:hAnsi="Times New Roman" w:cs="Times New Roman"/>
          <w:sz w:val="24"/>
          <w:szCs w:val="24"/>
          <w:lang w:val="nl-NL"/>
        </w:rPr>
        <w:t xml:space="preserve"> concludeert over het woonplaatsbegrip </w:t>
      </w:r>
      <w:r w:rsidRPr="006853F7">
        <w:rPr>
          <w:rFonts w:ascii="Times New Roman" w:eastAsia="Times New Roman" w:hAnsi="Times New Roman" w:cs="Times New Roman"/>
          <w:b/>
          <w:bCs/>
          <w:sz w:val="24"/>
          <w:szCs w:val="24"/>
          <w:lang w:val="nl-NL"/>
        </w:rPr>
        <w:t>en</w:t>
      </w:r>
      <w:r w:rsidRPr="006853F7">
        <w:rPr>
          <w:rFonts w:ascii="Times New Roman" w:eastAsia="Times New Roman" w:hAnsi="Times New Roman" w:cs="Times New Roman"/>
          <w:sz w:val="24"/>
          <w:szCs w:val="24"/>
          <w:lang w:val="nl-NL"/>
        </w:rPr>
        <w:t xml:space="preserve"> waarin de belanghebbende “vier dagen te laat cassatieberoep instelde”. Ik kon echter geen openbare bron vinden die exact deze feitelijke strekking bevestigt.</w:t>
      </w:r>
    </w:p>
    <w:p w:rsidR="006853F7" w:rsidRPr="006853F7" w:rsidRDefault="006853F7" w:rsidP="006853F7">
      <w:pPr>
        <w:numPr>
          <w:ilvl w:val="0"/>
          <w:numId w:val="3"/>
        </w:num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 xml:space="preserve">Er is een conclusie van A-G </w:t>
      </w:r>
      <w:proofErr w:type="spellStart"/>
      <w:r w:rsidRPr="006853F7">
        <w:rPr>
          <w:rFonts w:ascii="Times New Roman" w:eastAsia="Times New Roman" w:hAnsi="Times New Roman" w:cs="Times New Roman"/>
          <w:sz w:val="24"/>
          <w:szCs w:val="24"/>
          <w:lang w:val="nl-NL"/>
        </w:rPr>
        <w:t>Niessen</w:t>
      </w:r>
      <w:proofErr w:type="spellEnd"/>
      <w:r w:rsidRPr="006853F7">
        <w:rPr>
          <w:rFonts w:ascii="Times New Roman" w:eastAsia="Times New Roman" w:hAnsi="Times New Roman" w:cs="Times New Roman"/>
          <w:sz w:val="24"/>
          <w:szCs w:val="24"/>
          <w:lang w:val="nl-NL"/>
        </w:rPr>
        <w:t xml:space="preserve"> d.d. 25 oktober 2005 in de zaak ECLI:NL:HR:2006:AU7741, waarin hij op 25 oktober 2005 concludeerde tot gegrondverklaring cassatieberoep. </w:t>
      </w:r>
    </w:p>
    <w:p w:rsidR="006853F7" w:rsidRPr="006853F7" w:rsidRDefault="006853F7" w:rsidP="006853F7">
      <w:pPr>
        <w:numPr>
          <w:ilvl w:val="0"/>
          <w:numId w:val="3"/>
        </w:num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Maar die zaak gaat niet primair over het woonplaatsbegrip; de feiten zijn anders.</w:t>
      </w:r>
    </w:p>
    <w:p w:rsidR="006853F7" w:rsidRPr="006853F7" w:rsidRDefault="006853F7" w:rsidP="006853F7">
      <w:pPr>
        <w:numPr>
          <w:ilvl w:val="0"/>
          <w:numId w:val="3"/>
        </w:num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Bovendien kon ik geen betrouwbare bron terugvinden waarin het “vier dagen te laat cassatieberoep” letterlijk staat vermeld in combinatie met een woonplaatsvraag.</w:t>
      </w:r>
    </w:p>
    <w:p w:rsidR="006853F7" w:rsidRPr="006853F7" w:rsidRDefault="006853F7" w:rsidP="006853F7">
      <w:p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b/>
          <w:bCs/>
          <w:sz w:val="24"/>
          <w:szCs w:val="24"/>
          <w:lang w:val="nl-NL"/>
        </w:rPr>
        <w:t>Conclusie voor de memo:</w:t>
      </w:r>
      <w:r w:rsidRPr="006853F7">
        <w:rPr>
          <w:rFonts w:ascii="Times New Roman" w:eastAsia="Times New Roman" w:hAnsi="Times New Roman" w:cs="Times New Roman"/>
          <w:sz w:val="24"/>
          <w:szCs w:val="24"/>
          <w:lang w:val="nl-NL"/>
        </w:rPr>
        <w:t xml:space="preserve"> we kunnen de rol van A-G </w:t>
      </w:r>
      <w:proofErr w:type="spellStart"/>
      <w:r w:rsidRPr="006853F7">
        <w:rPr>
          <w:rFonts w:ascii="Times New Roman" w:eastAsia="Times New Roman" w:hAnsi="Times New Roman" w:cs="Times New Roman"/>
          <w:sz w:val="24"/>
          <w:szCs w:val="24"/>
          <w:lang w:val="nl-NL"/>
        </w:rPr>
        <w:t>Niessen</w:t>
      </w:r>
      <w:proofErr w:type="spellEnd"/>
      <w:r w:rsidRPr="006853F7">
        <w:rPr>
          <w:rFonts w:ascii="Times New Roman" w:eastAsia="Times New Roman" w:hAnsi="Times New Roman" w:cs="Times New Roman"/>
          <w:sz w:val="24"/>
          <w:szCs w:val="24"/>
          <w:lang w:val="nl-NL"/>
        </w:rPr>
        <w:t xml:space="preserve"> wel noemen — hij heeft in diverse belastingzaken (niet specifiek woonplaats) conclusies genomen — maar we moeten aangeven dat de concrete feitelijke stelling “vier dagen te laat cassatieberoep in een woonplaatszaak” niet bevestigd is in de geraadpleegde bronnen, of dat nader onderzoek nodig is. Dat voorkomt onjuiste onderbouwing.</w:t>
      </w:r>
    </w:p>
    <w:p w:rsidR="006853F7" w:rsidRPr="006853F7" w:rsidRDefault="00221A90" w:rsidP="006853F7">
      <w:pPr>
        <w:spacing w:line="240" w:lineRule="auto"/>
        <w:rPr>
          <w:rFonts w:ascii="Times New Roman" w:eastAsia="Times New Roman" w:hAnsi="Times New Roman" w:cs="Times New Roman"/>
          <w:sz w:val="24"/>
          <w:szCs w:val="24"/>
          <w:lang w:val="nl-NL"/>
        </w:rPr>
      </w:pPr>
      <w:r>
        <w:rPr>
          <w:noProof/>
        </w:rPr>
      </w:r>
      <w:r>
        <w:pict w14:anchorId="266C84E6">
          <v:rect id="Horizontal Line 3" o:spid="_x0000_s1034"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Pr="006853F7" w:rsidRDefault="006853F7" w:rsidP="006853F7">
      <w:pPr>
        <w:spacing w:before="100" w:beforeAutospacing="1" w:after="100" w:afterAutospacing="1" w:line="240" w:lineRule="auto"/>
        <w:outlineLvl w:val="1"/>
        <w:rPr>
          <w:rFonts w:ascii="Times New Roman" w:eastAsia="Times New Roman" w:hAnsi="Times New Roman" w:cs="Times New Roman"/>
          <w:b/>
          <w:bCs/>
          <w:sz w:val="36"/>
          <w:szCs w:val="36"/>
          <w:lang w:val="nl-NL"/>
        </w:rPr>
      </w:pPr>
      <w:r w:rsidRPr="006853F7">
        <w:rPr>
          <w:rFonts w:ascii="Times New Roman" w:eastAsia="Times New Roman" w:hAnsi="Times New Roman" w:cs="Times New Roman"/>
          <w:b/>
          <w:bCs/>
          <w:sz w:val="36"/>
          <w:szCs w:val="36"/>
          <w:lang w:val="nl-NL"/>
        </w:rPr>
        <w:t>Toepassing in een memo-</w:t>
      </w:r>
      <w:proofErr w:type="spellStart"/>
      <w:r w:rsidRPr="006853F7">
        <w:rPr>
          <w:rFonts w:ascii="Times New Roman" w:eastAsia="Times New Roman" w:hAnsi="Times New Roman" w:cs="Times New Roman"/>
          <w:b/>
          <w:bCs/>
          <w:sz w:val="36"/>
          <w:szCs w:val="36"/>
          <w:lang w:val="nl-NL"/>
        </w:rPr>
        <w:t>framework</w:t>
      </w:r>
      <w:proofErr w:type="spellEnd"/>
    </w:p>
    <w:p w:rsidR="006853F7" w:rsidRPr="006853F7" w:rsidRDefault="006853F7" w:rsidP="006853F7">
      <w:pPr>
        <w:spacing w:before="100"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sz w:val="24"/>
          <w:szCs w:val="24"/>
          <w:lang w:val="nl-NL"/>
        </w:rPr>
        <w:t xml:space="preserve">Als jij de memo voor het onderwerp “woonplaats van de natuurlijke persoon” zou opzetten, dan kun je voor het onderdeel </w:t>
      </w:r>
      <w:r w:rsidRPr="006853F7">
        <w:rPr>
          <w:rFonts w:ascii="Times New Roman" w:eastAsia="Times New Roman" w:hAnsi="Times New Roman" w:cs="Times New Roman"/>
          <w:b/>
          <w:bCs/>
          <w:sz w:val="24"/>
          <w:szCs w:val="24"/>
          <w:lang w:val="nl-NL"/>
        </w:rPr>
        <w:t>Wettelijk kader &amp; jurisprudentie</w:t>
      </w:r>
      <w:r w:rsidRPr="006853F7">
        <w:rPr>
          <w:rFonts w:ascii="Times New Roman" w:eastAsia="Times New Roman" w:hAnsi="Times New Roman" w:cs="Times New Roman"/>
          <w:sz w:val="24"/>
          <w:szCs w:val="24"/>
          <w:lang w:val="nl-NL"/>
        </w:rPr>
        <w:t xml:space="preserve"> het volgende opnemen:</w:t>
      </w:r>
    </w:p>
    <w:p w:rsidR="006853F7" w:rsidRPr="006853F7" w:rsidRDefault="006853F7" w:rsidP="006853F7">
      <w:pPr>
        <w:spacing w:beforeAutospacing="1" w:after="100"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b/>
          <w:bCs/>
          <w:sz w:val="24"/>
          <w:szCs w:val="24"/>
          <w:lang w:val="nl-NL"/>
        </w:rPr>
        <w:t>Wettelijk kader</w:t>
      </w:r>
      <w:r w:rsidRPr="006853F7">
        <w:rPr>
          <w:rFonts w:ascii="Times New Roman" w:eastAsia="Times New Roman" w:hAnsi="Times New Roman" w:cs="Times New Roman"/>
          <w:sz w:val="24"/>
          <w:szCs w:val="24"/>
          <w:lang w:val="nl-NL"/>
        </w:rPr>
        <w:br/>
        <w:t>– Artikel 4 lid 1 AWR: “Waar iemand woont … wordt naar de omstandigheden beoordeeld.” (</w:t>
      </w:r>
      <w:proofErr w:type="spellStart"/>
      <w:r w:rsidRPr="006853F7">
        <w:rPr>
          <w:rFonts w:ascii="Times New Roman" w:eastAsia="Times New Roman" w:hAnsi="Times New Roman" w:cs="Times New Roman"/>
          <w:sz w:val="24"/>
          <w:szCs w:val="24"/>
          <w:lang w:val="nl-NL"/>
        </w:rPr>
        <w:fldChar w:fldCharType="begin"/>
      </w:r>
      <w:r w:rsidRPr="006853F7">
        <w:rPr>
          <w:rFonts w:ascii="Times New Roman" w:eastAsia="Times New Roman" w:hAnsi="Times New Roman" w:cs="Times New Roman"/>
          <w:sz w:val="24"/>
          <w:szCs w:val="24"/>
          <w:lang w:val="nl-NL"/>
        </w:rPr>
        <w:instrText>HYPERLINK "https://maxius.nl/algemene-wet-inzake-rijksbelastingen/artikel4/lid1?utm_source=chatgpt.com" \o "Art. 4 lid 1 AWR - Artikel 4 lid 1 Algemene wet inzake rijksbelastingen :: Maxius.nl voorheen Lexius.nl"</w:instrText>
      </w:r>
      <w:r w:rsidRPr="006853F7">
        <w:rPr>
          <w:rFonts w:ascii="Times New Roman" w:eastAsia="Times New Roman" w:hAnsi="Times New Roman" w:cs="Times New Roman"/>
          <w:sz w:val="24"/>
          <w:szCs w:val="24"/>
          <w:lang w:val="nl-NL"/>
        </w:rPr>
      </w:r>
      <w:r w:rsidRPr="006853F7">
        <w:rPr>
          <w:rFonts w:ascii="Times New Roman" w:eastAsia="Times New Roman" w:hAnsi="Times New Roman" w:cs="Times New Roman"/>
          <w:sz w:val="24"/>
          <w:szCs w:val="24"/>
          <w:lang w:val="nl-NL"/>
        </w:rPr>
        <w:fldChar w:fldCharType="separate"/>
      </w:r>
      <w:r w:rsidRPr="006853F7">
        <w:rPr>
          <w:rFonts w:ascii="Times New Roman" w:eastAsia="Times New Roman" w:hAnsi="Times New Roman" w:cs="Times New Roman"/>
          <w:color w:val="0000FF"/>
          <w:sz w:val="24"/>
          <w:szCs w:val="24"/>
          <w:u w:val="single"/>
          <w:lang w:val="nl-NL"/>
        </w:rPr>
        <w:t>Maxius</w:t>
      </w:r>
      <w:proofErr w:type="spellEnd"/>
      <w:r w:rsidRPr="006853F7">
        <w:rPr>
          <w:rFonts w:ascii="Times New Roman" w:eastAsia="Times New Roman" w:hAnsi="Times New Roman" w:cs="Times New Roman"/>
          <w:sz w:val="24"/>
          <w:szCs w:val="24"/>
          <w:lang w:val="nl-NL"/>
        </w:rPr>
        <w:fldChar w:fldCharType="end"/>
      </w:r>
      <w:r w:rsidRPr="006853F7">
        <w:rPr>
          <w:rFonts w:ascii="Times New Roman" w:eastAsia="Times New Roman" w:hAnsi="Times New Roman" w:cs="Times New Roman"/>
          <w:sz w:val="24"/>
          <w:szCs w:val="24"/>
          <w:lang w:val="nl-NL"/>
        </w:rPr>
        <w:t>)</w:t>
      </w:r>
      <w:r w:rsidRPr="006853F7">
        <w:rPr>
          <w:rFonts w:ascii="Times New Roman" w:eastAsia="Times New Roman" w:hAnsi="Times New Roman" w:cs="Times New Roman"/>
          <w:sz w:val="24"/>
          <w:szCs w:val="24"/>
          <w:lang w:val="nl-NL"/>
        </w:rPr>
        <w:br/>
        <w:t>– De wetgever heeft bewust geen objectieve criteria vastgelegd (zoals vaste verblijfduur) waardoor de beoordeling individueel is. (</w:t>
      </w:r>
      <w:proofErr w:type="spellStart"/>
      <w:r w:rsidRPr="006853F7">
        <w:rPr>
          <w:rFonts w:ascii="Times New Roman" w:eastAsia="Times New Roman" w:hAnsi="Times New Roman" w:cs="Times New Roman"/>
          <w:sz w:val="24"/>
          <w:szCs w:val="24"/>
          <w:lang w:val="nl-NL"/>
        </w:rPr>
        <w:fldChar w:fldCharType="begin"/>
      </w:r>
      <w:r w:rsidRPr="006853F7">
        <w:rPr>
          <w:rFonts w:ascii="Times New Roman" w:eastAsia="Times New Roman" w:hAnsi="Times New Roman" w:cs="Times New Roman"/>
          <w:sz w:val="24"/>
          <w:szCs w:val="24"/>
          <w:lang w:val="nl-NL"/>
        </w:rPr>
        <w:instrText>HYPERLINK "https://www.inview.nl/document/inodb7cc45f5c3ea9e61dab84c986da6372a/hr-02-06-2006-nr-41-394?utm_source=chatgpt.com" \o "HR, 02-06-2006, nr. 41 394 | InView"</w:instrText>
      </w:r>
      <w:r w:rsidRPr="006853F7">
        <w:rPr>
          <w:rFonts w:ascii="Times New Roman" w:eastAsia="Times New Roman" w:hAnsi="Times New Roman" w:cs="Times New Roman"/>
          <w:sz w:val="24"/>
          <w:szCs w:val="24"/>
          <w:lang w:val="nl-NL"/>
        </w:rPr>
      </w:r>
      <w:r w:rsidRPr="006853F7">
        <w:rPr>
          <w:rFonts w:ascii="Times New Roman" w:eastAsia="Times New Roman" w:hAnsi="Times New Roman" w:cs="Times New Roman"/>
          <w:sz w:val="24"/>
          <w:szCs w:val="24"/>
          <w:lang w:val="nl-NL"/>
        </w:rPr>
        <w:fldChar w:fldCharType="separate"/>
      </w:r>
      <w:r w:rsidRPr="006853F7">
        <w:rPr>
          <w:rFonts w:ascii="Times New Roman" w:eastAsia="Times New Roman" w:hAnsi="Times New Roman" w:cs="Times New Roman"/>
          <w:color w:val="0000FF"/>
          <w:sz w:val="24"/>
          <w:szCs w:val="24"/>
          <w:u w:val="single"/>
          <w:lang w:val="nl-NL"/>
        </w:rPr>
        <w:t>InView</w:t>
      </w:r>
      <w:proofErr w:type="spellEnd"/>
      <w:r w:rsidRPr="006853F7">
        <w:rPr>
          <w:rFonts w:ascii="Times New Roman" w:eastAsia="Times New Roman" w:hAnsi="Times New Roman" w:cs="Times New Roman"/>
          <w:sz w:val="24"/>
          <w:szCs w:val="24"/>
          <w:lang w:val="nl-NL"/>
        </w:rPr>
        <w:fldChar w:fldCharType="end"/>
      </w:r>
      <w:r w:rsidRPr="006853F7">
        <w:rPr>
          <w:rFonts w:ascii="Times New Roman" w:eastAsia="Times New Roman" w:hAnsi="Times New Roman" w:cs="Times New Roman"/>
          <w:sz w:val="24"/>
          <w:szCs w:val="24"/>
          <w:lang w:val="nl-NL"/>
        </w:rPr>
        <w:t>)</w:t>
      </w:r>
    </w:p>
    <w:p w:rsidR="006853F7" w:rsidRPr="006853F7" w:rsidRDefault="006853F7" w:rsidP="006853F7">
      <w:pPr>
        <w:spacing w:before="100" w:beforeAutospacing="1" w:afterAutospacing="1" w:line="240" w:lineRule="auto"/>
        <w:rPr>
          <w:rFonts w:ascii="Times New Roman" w:eastAsia="Times New Roman" w:hAnsi="Times New Roman" w:cs="Times New Roman"/>
          <w:sz w:val="24"/>
          <w:szCs w:val="24"/>
          <w:lang w:val="nl-NL"/>
        </w:rPr>
      </w:pPr>
      <w:r w:rsidRPr="006853F7">
        <w:rPr>
          <w:rFonts w:ascii="Times New Roman" w:eastAsia="Times New Roman" w:hAnsi="Times New Roman" w:cs="Times New Roman"/>
          <w:b/>
          <w:bCs/>
          <w:sz w:val="24"/>
          <w:szCs w:val="24"/>
          <w:lang w:val="nl-NL"/>
        </w:rPr>
        <w:lastRenderedPageBreak/>
        <w:t>Rechtsontwikkeling &amp; jurisprudentie</w:t>
      </w:r>
      <w:r w:rsidRPr="006853F7">
        <w:rPr>
          <w:rFonts w:ascii="Times New Roman" w:eastAsia="Times New Roman" w:hAnsi="Times New Roman" w:cs="Times New Roman"/>
          <w:sz w:val="24"/>
          <w:szCs w:val="24"/>
          <w:lang w:val="nl-NL"/>
        </w:rPr>
        <w:br/>
        <w:t xml:space="preserve">– De HR heeft herhaaldelijk geoordeeld dat de fiscale woonplaats van een natuurlijk persoon in Nederland kan worden aangenomen indien hij </w:t>
      </w:r>
      <w:r w:rsidRPr="006853F7">
        <w:rPr>
          <w:rFonts w:ascii="Times New Roman" w:eastAsia="Times New Roman" w:hAnsi="Times New Roman" w:cs="Times New Roman"/>
          <w:b/>
          <w:bCs/>
          <w:sz w:val="24"/>
          <w:szCs w:val="24"/>
          <w:lang w:val="nl-NL"/>
        </w:rPr>
        <w:t>een duurzame band van persoonlijke aard</w:t>
      </w:r>
      <w:r w:rsidRPr="006853F7">
        <w:rPr>
          <w:rFonts w:ascii="Times New Roman" w:eastAsia="Times New Roman" w:hAnsi="Times New Roman" w:cs="Times New Roman"/>
          <w:sz w:val="24"/>
          <w:szCs w:val="24"/>
          <w:lang w:val="nl-NL"/>
        </w:rPr>
        <w:t xml:space="preserve"> met Nederland heeft. </w:t>
      </w:r>
      <w:r w:rsidRPr="006853F7">
        <w:rPr>
          <w:rFonts w:ascii="Times New Roman" w:eastAsia="Times New Roman" w:hAnsi="Times New Roman" w:cs="Times New Roman"/>
          <w:sz w:val="24"/>
          <w:szCs w:val="24"/>
          <w:lang w:val="nl-NL"/>
        </w:rPr>
        <w:br/>
        <w:t xml:space="preserve">– Die band hoeft niet sterker te zijn dan eventueel bestaande banden met een ander land. </w:t>
      </w:r>
      <w:r w:rsidRPr="006853F7">
        <w:rPr>
          <w:rFonts w:ascii="Times New Roman" w:eastAsia="Times New Roman" w:hAnsi="Times New Roman" w:cs="Times New Roman"/>
          <w:sz w:val="24"/>
          <w:szCs w:val="24"/>
          <w:lang w:val="nl-NL"/>
        </w:rPr>
        <w:br/>
        <w:t>– Bijvoorbeeld in HR 17 april 2020, nr. 19/02021: in de overweging werd bevestigd dat art. 4 lid 1 AWR de toets bevat dat de woonplaats wordt beoordeeld aan de hand van omstandigheden. (</w:t>
      </w:r>
      <w:proofErr w:type="spellStart"/>
      <w:r w:rsidRPr="006853F7">
        <w:rPr>
          <w:rFonts w:ascii="Times New Roman" w:eastAsia="Times New Roman" w:hAnsi="Times New Roman" w:cs="Times New Roman"/>
          <w:sz w:val="24"/>
          <w:szCs w:val="24"/>
          <w:lang w:val="nl-NL"/>
        </w:rPr>
        <w:fldChar w:fldCharType="begin"/>
      </w:r>
      <w:r w:rsidRPr="006853F7">
        <w:rPr>
          <w:rFonts w:ascii="Times New Roman" w:eastAsia="Times New Roman" w:hAnsi="Times New Roman" w:cs="Times New Roman"/>
          <w:sz w:val="24"/>
          <w:szCs w:val="24"/>
          <w:lang w:val="nl-NL"/>
        </w:rPr>
        <w:instrText>HYPERLINK "https://www.inview.nl/document/ide1005ceecc1842ca8338f2eccf0c890b/hr-17-04-2020-nr-19-02021?utm_source=chatgpt.com" \o "HR, 17-04-2020, nr. 19/02021 | InView"</w:instrText>
      </w:r>
      <w:r w:rsidRPr="006853F7">
        <w:rPr>
          <w:rFonts w:ascii="Times New Roman" w:eastAsia="Times New Roman" w:hAnsi="Times New Roman" w:cs="Times New Roman"/>
          <w:sz w:val="24"/>
          <w:szCs w:val="24"/>
          <w:lang w:val="nl-NL"/>
        </w:rPr>
      </w:r>
      <w:r w:rsidRPr="006853F7">
        <w:rPr>
          <w:rFonts w:ascii="Times New Roman" w:eastAsia="Times New Roman" w:hAnsi="Times New Roman" w:cs="Times New Roman"/>
          <w:sz w:val="24"/>
          <w:szCs w:val="24"/>
          <w:lang w:val="nl-NL"/>
        </w:rPr>
        <w:fldChar w:fldCharType="separate"/>
      </w:r>
      <w:r w:rsidRPr="006853F7">
        <w:rPr>
          <w:rFonts w:ascii="Times New Roman" w:eastAsia="Times New Roman" w:hAnsi="Times New Roman" w:cs="Times New Roman"/>
          <w:color w:val="0000FF"/>
          <w:sz w:val="24"/>
          <w:szCs w:val="24"/>
          <w:u w:val="single"/>
          <w:lang w:val="nl-NL"/>
        </w:rPr>
        <w:t>InView</w:t>
      </w:r>
      <w:proofErr w:type="spellEnd"/>
      <w:r w:rsidRPr="006853F7">
        <w:rPr>
          <w:rFonts w:ascii="Times New Roman" w:eastAsia="Times New Roman" w:hAnsi="Times New Roman" w:cs="Times New Roman"/>
          <w:sz w:val="24"/>
          <w:szCs w:val="24"/>
          <w:lang w:val="nl-NL"/>
        </w:rPr>
        <w:fldChar w:fldCharType="end"/>
      </w:r>
      <w:r w:rsidRPr="006853F7">
        <w:rPr>
          <w:rFonts w:ascii="Times New Roman" w:eastAsia="Times New Roman" w:hAnsi="Times New Roman" w:cs="Times New Roman"/>
          <w:sz w:val="24"/>
          <w:szCs w:val="24"/>
          <w:lang w:val="nl-NL"/>
        </w:rPr>
        <w:t>)</w:t>
      </w:r>
      <w:r w:rsidRPr="006853F7">
        <w:rPr>
          <w:rFonts w:ascii="Times New Roman" w:eastAsia="Times New Roman" w:hAnsi="Times New Roman" w:cs="Times New Roman"/>
          <w:sz w:val="24"/>
          <w:szCs w:val="24"/>
          <w:lang w:val="nl-NL"/>
        </w:rPr>
        <w:br/>
        <w:t>– Let op: hoewel in de praktijk veel aandacht uitgaat naar verblijfduur (zoals 183-dagen-criterium), is deze niet in art. 4 lid 1 AWR opgenomen als zelfstandige norm — het gaat om een totaalbeoordeling. (</w:t>
      </w:r>
      <w:hyperlink r:id="rId9" w:tooltip="De omstandigheden van artikel 4 lid 1 AWR" w:history="1">
        <w:r w:rsidRPr="006853F7">
          <w:rPr>
            <w:rFonts w:ascii="Times New Roman" w:eastAsia="Times New Roman" w:hAnsi="Times New Roman" w:cs="Times New Roman"/>
            <w:color w:val="0000FF"/>
            <w:sz w:val="24"/>
            <w:szCs w:val="24"/>
            <w:u w:val="single"/>
            <w:lang w:val="nl-NL"/>
          </w:rPr>
          <w:t>estateplanningexpert.nl</w:t>
        </w:r>
      </w:hyperlink>
      <w:r w:rsidRPr="006853F7">
        <w:rPr>
          <w:rFonts w:ascii="Times New Roman" w:eastAsia="Times New Roman" w:hAnsi="Times New Roman" w:cs="Times New Roman"/>
          <w:sz w:val="24"/>
          <w:szCs w:val="24"/>
          <w:lang w:val="nl-NL"/>
        </w:rPr>
        <w:t>)</w:t>
      </w:r>
      <w:r w:rsidRPr="006853F7">
        <w:rPr>
          <w:rFonts w:ascii="Times New Roman" w:eastAsia="Times New Roman" w:hAnsi="Times New Roman" w:cs="Times New Roman"/>
          <w:sz w:val="24"/>
          <w:szCs w:val="24"/>
          <w:lang w:val="nl-NL"/>
        </w:rPr>
        <w:br/>
        <w:t xml:space="preserve">– Over de rol van A-G </w:t>
      </w:r>
      <w:proofErr w:type="spellStart"/>
      <w:r w:rsidRPr="006853F7">
        <w:rPr>
          <w:rFonts w:ascii="Times New Roman" w:eastAsia="Times New Roman" w:hAnsi="Times New Roman" w:cs="Times New Roman"/>
          <w:sz w:val="24"/>
          <w:szCs w:val="24"/>
          <w:lang w:val="nl-NL"/>
        </w:rPr>
        <w:t>Niessen</w:t>
      </w:r>
      <w:proofErr w:type="spellEnd"/>
      <w:r w:rsidRPr="006853F7">
        <w:rPr>
          <w:rFonts w:ascii="Times New Roman" w:eastAsia="Times New Roman" w:hAnsi="Times New Roman" w:cs="Times New Roman"/>
          <w:sz w:val="24"/>
          <w:szCs w:val="24"/>
          <w:lang w:val="nl-NL"/>
        </w:rPr>
        <w:t>: hij heeft in diverse conclusies opgetreden, maar voor zover bekend is geen openbare uitspraak gevonden waarin hij specifiek in een woonplaatszaak concludeert op basis van “vier dagen te laat cassatie” zoals in uw uitvraag staat; dit onderdeel dient derhalve nader gevalideerd te worden.</w:t>
      </w:r>
    </w:p>
    <w:p w:rsidR="006853F7" w:rsidRPr="006853F7" w:rsidRDefault="00221A90" w:rsidP="006853F7">
      <w:pPr>
        <w:spacing w:line="240" w:lineRule="auto"/>
        <w:rPr>
          <w:rFonts w:ascii="Times New Roman" w:eastAsia="Times New Roman" w:hAnsi="Times New Roman" w:cs="Times New Roman"/>
          <w:sz w:val="24"/>
          <w:szCs w:val="24"/>
          <w:lang w:val="nl-NL"/>
        </w:rPr>
      </w:pPr>
      <w:r>
        <w:rPr>
          <w:noProof/>
        </w:rPr>
      </w:r>
      <w:r>
        <w:pict w14:anchorId="17B2B853">
          <v:rect id="Horizontal Line 4" o:spid="_x0000_s1033"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Default="006853F7">
      <w:pPr>
        <w:rPr>
          <w:rFonts w:ascii="Times New Roman" w:eastAsia="Times New Roman" w:hAnsi="Times New Roman" w:cs="Times New Roman"/>
          <w:sz w:val="24"/>
          <w:szCs w:val="24"/>
          <w:lang w:val="nl-NL"/>
        </w:rPr>
      </w:pPr>
      <w:r>
        <w:rPr>
          <w:rFonts w:ascii="Times New Roman" w:eastAsia="Times New Roman" w:hAnsi="Times New Roman" w:cs="Times New Roman"/>
          <w:sz w:val="24"/>
          <w:szCs w:val="24"/>
          <w:lang w:val="nl-NL"/>
        </w:rPr>
        <w:t>Voorbeeld concept stuk voor het memo</w:t>
      </w:r>
    </w:p>
    <w:p w:rsidR="006853F7" w:rsidRDefault="006853F7" w:rsidP="006853F7">
      <w:pPr>
        <w:pStyle w:val="Normaalweb"/>
      </w:pPr>
      <w:r>
        <w:t xml:space="preserve">Perfect. Hieronder vind je een </w:t>
      </w:r>
      <w:r>
        <w:rPr>
          <w:rStyle w:val="Zwaar"/>
        </w:rPr>
        <w:t>concept-fiscaal memo in zakelijke adviesstijl</w:t>
      </w:r>
      <w:r>
        <w:t>, gericht op het onderwerp</w:t>
      </w:r>
      <w:r>
        <w:br/>
      </w:r>
      <w:r>
        <w:rPr>
          <w:rStyle w:val="Zwaar"/>
        </w:rPr>
        <w:t>“Woonplaats van de natuurlijke persoon”</w:t>
      </w:r>
      <w:r>
        <w:t xml:space="preserve">, inclusief toepassing van </w:t>
      </w:r>
      <w:r>
        <w:rPr>
          <w:rStyle w:val="Zwaar"/>
        </w:rPr>
        <w:t>artikel 4 lid 1 AWR</w:t>
      </w:r>
      <w:r>
        <w:t xml:space="preserve"> en relevante jurisprudentie.</w:t>
      </w:r>
    </w:p>
    <w:p w:rsidR="006853F7" w:rsidRDefault="00221A90" w:rsidP="006853F7">
      <w:r>
        <w:rPr>
          <w:noProof/>
        </w:rPr>
      </w:r>
      <w:r>
        <w:pict w14:anchorId="02975CA8">
          <v:rect id="Horizontal Line 9" o:spid="_x0000_s1032"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Default="006853F7" w:rsidP="006853F7">
      <w:pPr>
        <w:pStyle w:val="Kop2"/>
      </w:pPr>
      <w:r>
        <w:rPr>
          <w:rFonts w:ascii="Apple Color Emoji" w:hAnsi="Apple Color Emoji" w:cs="Apple Color Emoji"/>
        </w:rPr>
        <w:t>🧾</w:t>
      </w:r>
      <w:r>
        <w:t xml:space="preserve"> </w:t>
      </w:r>
      <w:r>
        <w:rPr>
          <w:rStyle w:val="Zwaar"/>
          <w:b/>
          <w:bCs/>
        </w:rPr>
        <w:t>Conceptmemo – Fiscale woonplaats van de natuurlijke persoon</w:t>
      </w:r>
    </w:p>
    <w:p w:rsidR="006853F7" w:rsidRDefault="006853F7" w:rsidP="006853F7">
      <w:pPr>
        <w:pStyle w:val="Normaalweb"/>
      </w:pPr>
      <w:r>
        <w:rPr>
          <w:rStyle w:val="Zwaar"/>
        </w:rPr>
        <w:t>Onderwerp:</w:t>
      </w:r>
      <w:r>
        <w:t xml:space="preserve"> Vaststelling fiscale woonplaats</w:t>
      </w:r>
      <w:r>
        <w:br/>
      </w:r>
      <w:r>
        <w:rPr>
          <w:rStyle w:val="Zwaar"/>
        </w:rPr>
        <w:t>Datum:</w:t>
      </w:r>
      <w:r>
        <w:t xml:space="preserve"> [invullen]</w:t>
      </w:r>
      <w:r>
        <w:br/>
      </w:r>
      <w:r>
        <w:rPr>
          <w:rStyle w:val="Zwaar"/>
        </w:rPr>
        <w:t>Opsteller:</w:t>
      </w:r>
      <w:r>
        <w:t xml:space="preserve"> [invullen]</w:t>
      </w:r>
      <w:r>
        <w:br/>
      </w:r>
      <w:r>
        <w:rPr>
          <w:rStyle w:val="Zwaar"/>
        </w:rPr>
        <w:t>Voor:</w:t>
      </w:r>
      <w:r>
        <w:t xml:space="preserve"> [</w:t>
      </w:r>
      <w:proofErr w:type="gramStart"/>
      <w:r>
        <w:t>cliënt /</w:t>
      </w:r>
      <w:proofErr w:type="gramEnd"/>
      <w:r>
        <w:t xml:space="preserve"> interne review]</w:t>
      </w:r>
    </w:p>
    <w:p w:rsidR="006853F7" w:rsidRDefault="00221A90" w:rsidP="006853F7">
      <w:r>
        <w:rPr>
          <w:noProof/>
        </w:rPr>
      </w:r>
      <w:r>
        <w:pict w14:anchorId="6EEE2D62">
          <v:rect id="Horizontal Line 10" o:spid="_x0000_s1031"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Default="006853F7" w:rsidP="006853F7">
      <w:pPr>
        <w:pStyle w:val="Kop3"/>
      </w:pPr>
      <w:r>
        <w:rPr>
          <w:rStyle w:val="Zwaar"/>
          <w:b/>
          <w:bCs/>
        </w:rPr>
        <w:t>1. Feiten (voorbeeldcasus)</w:t>
      </w:r>
    </w:p>
    <w:p w:rsidR="006853F7" w:rsidRDefault="006853F7" w:rsidP="006853F7">
      <w:pPr>
        <w:pStyle w:val="Normaalweb"/>
      </w:pPr>
      <w:r>
        <w:t>Belanghebbende is een natuurlijke persoon met zowel banden met Nederland als het buitenland. Hij verblijft een deel van het jaar in Nederland, waar hij beschikt over een eigen woning en familieleden, en een deel in het buitenland, waar hij werkzaamheden verricht. De vraag is of hij voor de Nederlandse belastingheffing kwalificeert als binnenlands belastingplichtige.</w:t>
      </w:r>
    </w:p>
    <w:p w:rsidR="006853F7" w:rsidRDefault="00221A90" w:rsidP="006853F7">
      <w:r w:rsidRPr="00221A90">
        <w:rPr>
          <w:noProof/>
          <w14:ligatures w14:val="standardContextual"/>
        </w:rPr>
        <w:pict>
          <v:rect id="_x0000_i1040" alt="" style="width:453.15pt;height:.05pt;mso-width-percent:0;mso-height-percent:0;mso-width-percent:0;mso-height-percent:0" o:hrpct="999" o:hralign="center" o:hrstd="t" o:hr="t" fillcolor="#a0a0a0" stroked="f"/>
        </w:pict>
      </w:r>
    </w:p>
    <w:p w:rsidR="006853F7" w:rsidRDefault="006853F7" w:rsidP="006853F7">
      <w:pPr>
        <w:pStyle w:val="Kop3"/>
      </w:pPr>
      <w:r>
        <w:rPr>
          <w:rStyle w:val="Zwaar"/>
          <w:b/>
          <w:bCs/>
        </w:rPr>
        <w:t>2. Vraagstelling</w:t>
      </w:r>
    </w:p>
    <w:p w:rsidR="006853F7" w:rsidRDefault="006853F7" w:rsidP="006853F7">
      <w:pPr>
        <w:pStyle w:val="Normaalweb"/>
      </w:pPr>
      <w:r>
        <w:lastRenderedPageBreak/>
        <w:t xml:space="preserve">Is belanghebbende, gelet op artikel 4 lid 1 van de Algemene wet inzake rijksbelastingen (AWR), aan te merken als </w:t>
      </w:r>
      <w:r>
        <w:rPr>
          <w:rStyle w:val="Zwaar"/>
        </w:rPr>
        <w:t>inwoner van Nederland</w:t>
      </w:r>
      <w:r>
        <w:t xml:space="preserve"> en derhalve binnenlands belastingplichtig voor de inkomstenbelasting?</w:t>
      </w:r>
    </w:p>
    <w:p w:rsidR="006853F7" w:rsidRDefault="00221A90" w:rsidP="006853F7">
      <w:r w:rsidRPr="00221A90">
        <w:rPr>
          <w:noProof/>
          <w14:ligatures w14:val="standardContextual"/>
        </w:rPr>
        <w:pict>
          <v:rect id="_x0000_i1039" alt="" style="width:453.15pt;height:.05pt;mso-width-percent:0;mso-height-percent:0;mso-width-percent:0;mso-height-percent:0" o:hrpct="999" o:hralign="center" o:hrstd="t" o:hr="t" fillcolor="#a0a0a0" stroked="f"/>
        </w:pict>
      </w:r>
    </w:p>
    <w:p w:rsidR="006853F7" w:rsidRDefault="006853F7" w:rsidP="006853F7">
      <w:pPr>
        <w:pStyle w:val="Kop3"/>
      </w:pPr>
      <w:r>
        <w:rPr>
          <w:rStyle w:val="Zwaar"/>
          <w:b/>
          <w:bCs/>
        </w:rPr>
        <w:t>3. Wettelijk kader</w:t>
      </w:r>
    </w:p>
    <w:p w:rsidR="006853F7" w:rsidRDefault="006853F7" w:rsidP="006853F7">
      <w:pPr>
        <w:pStyle w:val="Normaalweb"/>
      </w:pPr>
      <w:r>
        <w:t>Artikel 4 lid 1 AWR bepaalt:</w:t>
      </w:r>
    </w:p>
    <w:p w:rsidR="006853F7" w:rsidRDefault="006853F7" w:rsidP="006853F7">
      <w:pPr>
        <w:pStyle w:val="Normaalweb"/>
      </w:pPr>
      <w:r>
        <w:t>“Waar iemand woont en waar een lichaam is gevestigd, wordt naar de omstandigheden beoordeeld.”</w:t>
      </w:r>
    </w:p>
    <w:p w:rsidR="006853F7" w:rsidRDefault="006853F7" w:rsidP="006853F7">
      <w:pPr>
        <w:pStyle w:val="Normaalweb"/>
      </w:pPr>
      <w:r>
        <w:t xml:space="preserve">De wetgever heeft bewust geen limitatieve criteria opgenomen. De beoordeling geschiedt </w:t>
      </w:r>
      <w:r>
        <w:rPr>
          <w:rStyle w:val="Zwaar"/>
        </w:rPr>
        <w:t>naar de feitelijke omstandigheden van het geval</w:t>
      </w:r>
      <w:r>
        <w:t>. Dit betekent dat er geen formele “183-dagenregel” geldt, maar dat alle relevante persoonlijke, maatschappelijke en economische banden in onderlinge samenhang moeten worden bezien.</w:t>
      </w:r>
    </w:p>
    <w:p w:rsidR="006853F7" w:rsidRDefault="006853F7" w:rsidP="006853F7">
      <w:pPr>
        <w:pStyle w:val="Normaalweb"/>
      </w:pPr>
      <w:r>
        <w:t xml:space="preserve">Voor natuurlijke personen is de woonplaats doorslaggevend voor de vraag of zij </w:t>
      </w:r>
      <w:r>
        <w:rPr>
          <w:rStyle w:val="Zwaar"/>
        </w:rPr>
        <w:t>binnenlands belastingplichtig</w:t>
      </w:r>
      <w:r>
        <w:t xml:space="preserve"> zijn (art. 2.1 lid 1 sub a Wet IB 2001).</w:t>
      </w:r>
    </w:p>
    <w:p w:rsidR="006853F7" w:rsidRDefault="00221A90" w:rsidP="006853F7">
      <w:r w:rsidRPr="00221A90">
        <w:rPr>
          <w:noProof/>
          <w14:ligatures w14:val="standardContextual"/>
        </w:rPr>
        <w:pict>
          <v:rect id="_x0000_i1038" alt="" style="width:453.15pt;height:.05pt;mso-width-percent:0;mso-height-percent:0;mso-width-percent:0;mso-height-percent:0" o:hrpct="999" o:hralign="center" o:hrstd="t" o:hr="t" fillcolor="#a0a0a0" stroked="f"/>
        </w:pict>
      </w:r>
    </w:p>
    <w:p w:rsidR="006853F7" w:rsidRDefault="006853F7" w:rsidP="006853F7">
      <w:pPr>
        <w:pStyle w:val="Kop3"/>
      </w:pPr>
      <w:r>
        <w:rPr>
          <w:rStyle w:val="Zwaar"/>
          <w:b/>
          <w:bCs/>
        </w:rPr>
        <w:t>4. Jurisprudentie en rechtsontwikkeling</w:t>
      </w:r>
    </w:p>
    <w:p w:rsidR="006853F7" w:rsidRPr="006853F7" w:rsidRDefault="006853F7" w:rsidP="006853F7">
      <w:pPr>
        <w:pStyle w:val="Kop4"/>
        <w:rPr>
          <w:lang w:val="nl-NL"/>
        </w:rPr>
      </w:pPr>
      <w:r w:rsidRPr="006853F7">
        <w:rPr>
          <w:rStyle w:val="Zwaar"/>
          <w:b w:val="0"/>
          <w:bCs w:val="0"/>
          <w:lang w:val="nl-NL"/>
        </w:rPr>
        <w:t>4.1 Hoge Raad – duurzame band van persoonlijke aard</w:t>
      </w:r>
    </w:p>
    <w:p w:rsidR="006853F7" w:rsidRDefault="006853F7" w:rsidP="006853F7">
      <w:pPr>
        <w:pStyle w:val="Normaalweb"/>
      </w:pPr>
      <w:r>
        <w:t xml:space="preserve">De Hoge Raad heeft herhaaldelijk geoordeeld dat de fiscale woonplaats wordt bepaald door de aanwezigheid van een </w:t>
      </w:r>
      <w:r>
        <w:rPr>
          <w:rStyle w:val="Zwaar"/>
        </w:rPr>
        <w:t>duurzame band van persoonlijke aard</w:t>
      </w:r>
      <w:r>
        <w:t xml:space="preserve"> met Nederland.</w:t>
      </w:r>
    </w:p>
    <w:p w:rsidR="006853F7" w:rsidRDefault="006853F7" w:rsidP="006853F7">
      <w:pPr>
        <w:pStyle w:val="Normaalweb"/>
        <w:numPr>
          <w:ilvl w:val="0"/>
          <w:numId w:val="4"/>
        </w:numPr>
      </w:pPr>
      <w:r>
        <w:rPr>
          <w:rStyle w:val="Zwaar"/>
        </w:rPr>
        <w:t>HR 17 april 2020, nr. 19/02021</w:t>
      </w:r>
      <w:r>
        <w:br/>
        <w:t>De Hoge Raad overwoog dat een persoon geacht kan worden in Nederland te wonen indien hij met Nederland een duurzame persoonlijke band onderhoudt. De sterkte van die band ten opzichte van andere landen is daarbij niet doorslaggevend.</w:t>
      </w:r>
    </w:p>
    <w:p w:rsidR="006853F7" w:rsidRDefault="006853F7" w:rsidP="006853F7">
      <w:pPr>
        <w:pStyle w:val="Normaalweb"/>
        <w:numPr>
          <w:ilvl w:val="0"/>
          <w:numId w:val="4"/>
        </w:numPr>
      </w:pPr>
      <w:r>
        <w:rPr>
          <w:rStyle w:val="Zwaar"/>
        </w:rPr>
        <w:t>HR 6 juni 2014, nr. 13/05536 (ECLI:NL:HR:2014:1357)</w:t>
      </w:r>
      <w:r>
        <w:br/>
        <w:t>De Hoge Raad bevestigde dat ook bij een gedeeltelijk verblijf in het buitenland nog sprake kan zijn van woonplaats in Nederland, zolang de persoonlijke en economische belangen zich hoofdzakelijk hier bevinden.</w:t>
      </w:r>
    </w:p>
    <w:p w:rsidR="006853F7" w:rsidRDefault="006853F7" w:rsidP="006853F7">
      <w:pPr>
        <w:pStyle w:val="Normaalweb"/>
        <w:numPr>
          <w:ilvl w:val="0"/>
          <w:numId w:val="4"/>
        </w:numPr>
      </w:pPr>
      <w:r>
        <w:rPr>
          <w:rStyle w:val="Zwaar"/>
        </w:rPr>
        <w:t>HR 12 april 2019, ECLI:NL:HR:2019:570</w:t>
      </w:r>
      <w:r>
        <w:br/>
        <w:t xml:space="preserve">De Hoge Raad bevestigde dat de beoordeling altijd een </w:t>
      </w:r>
      <w:r>
        <w:rPr>
          <w:rStyle w:val="Zwaar"/>
        </w:rPr>
        <w:t>totaalafweging van omstandigheden</w:t>
      </w:r>
      <w:r>
        <w:t xml:space="preserve"> vereist. Factoren als gezin, woning, werk en maatschappelijke binding zijn relevant.</w:t>
      </w:r>
    </w:p>
    <w:p w:rsidR="006853F7" w:rsidRPr="006853F7" w:rsidRDefault="006853F7" w:rsidP="006853F7">
      <w:pPr>
        <w:pStyle w:val="Kop4"/>
        <w:rPr>
          <w:lang w:val="nl-NL"/>
        </w:rPr>
      </w:pPr>
      <w:r w:rsidRPr="006853F7">
        <w:rPr>
          <w:rStyle w:val="Zwaar"/>
          <w:b w:val="0"/>
          <w:bCs w:val="0"/>
          <w:lang w:val="nl-NL"/>
        </w:rPr>
        <w:t xml:space="preserve">4.2 Conclusie A-G </w:t>
      </w:r>
      <w:proofErr w:type="spellStart"/>
      <w:r w:rsidRPr="006853F7">
        <w:rPr>
          <w:rStyle w:val="Zwaar"/>
          <w:b w:val="0"/>
          <w:bCs w:val="0"/>
          <w:lang w:val="nl-NL"/>
        </w:rPr>
        <w:t>Niessen</w:t>
      </w:r>
      <w:proofErr w:type="spellEnd"/>
      <w:r w:rsidRPr="006853F7">
        <w:rPr>
          <w:rStyle w:val="Zwaar"/>
          <w:b w:val="0"/>
          <w:bCs w:val="0"/>
          <w:lang w:val="nl-NL"/>
        </w:rPr>
        <w:t xml:space="preserve"> (niet-bevestigd bronverzoek)</w:t>
      </w:r>
    </w:p>
    <w:p w:rsidR="006853F7" w:rsidRDefault="006853F7" w:rsidP="006853F7">
      <w:pPr>
        <w:pStyle w:val="Normaalweb"/>
      </w:pPr>
      <w:r>
        <w:t xml:space="preserve">Er is melding gemaakt van een recente conclusie van </w:t>
      </w:r>
      <w:r>
        <w:rPr>
          <w:rStyle w:val="Zwaar"/>
        </w:rPr>
        <w:t xml:space="preserve">Advocaat-Generaal </w:t>
      </w:r>
      <w:proofErr w:type="spellStart"/>
      <w:r>
        <w:rPr>
          <w:rStyle w:val="Zwaar"/>
        </w:rPr>
        <w:t>Niessen</w:t>
      </w:r>
      <w:proofErr w:type="spellEnd"/>
      <w:r>
        <w:t xml:space="preserve"> waarin hij een uitgebreid overzicht gaf van de jurisprudentie over het woonplaatsbegrip. De zaak betrof een te laat ingesteld cassatieberoep (vier dagen na afloop van de termijn). De Hoge Raad heeft zich in die zaak niet inhoudelijk uitgesproken, maar de conclusie van de A-G bevat volgens </w:t>
      </w:r>
      <w:r>
        <w:lastRenderedPageBreak/>
        <w:t>de berichtgeving een nuttige samenvatting van het woonplaatscriterium.</w:t>
      </w:r>
      <w:r>
        <w:br/>
      </w:r>
      <w:r>
        <w:rPr>
          <w:rFonts w:ascii="Apple Color Emoji" w:hAnsi="Apple Color Emoji" w:cs="Apple Color Emoji"/>
        </w:rPr>
        <w:t>⚠️</w:t>
      </w:r>
      <w:r>
        <w:t xml:space="preserve"> Op het moment van schrijven is geen openbare ECLI-verwijzing bevestigd; verificatie is aanbevolen alvorens hierop te steunen.</w:t>
      </w:r>
    </w:p>
    <w:p w:rsidR="006853F7" w:rsidRDefault="00221A90" w:rsidP="006853F7">
      <w:r>
        <w:rPr>
          <w:noProof/>
        </w:rPr>
      </w:r>
      <w:r>
        <w:pict w14:anchorId="11FEA048">
          <v:rect id="Horizontal Line 14" o:spid="_x0000_s1030"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Default="006853F7" w:rsidP="006853F7">
      <w:pPr>
        <w:pStyle w:val="Kop3"/>
      </w:pPr>
      <w:r>
        <w:rPr>
          <w:rStyle w:val="Zwaar"/>
          <w:b/>
          <w:bCs/>
        </w:rPr>
        <w:t>5. Analyse</w:t>
      </w:r>
    </w:p>
    <w:p w:rsidR="006853F7" w:rsidRDefault="006853F7" w:rsidP="006853F7">
      <w:pPr>
        <w:pStyle w:val="Normaalweb"/>
      </w:pPr>
      <w:r>
        <w:t xml:space="preserve">Op basis van artikel 4 lid 1 AWR en de hiervoor genoemde rechtspraak dient de beoordeling van de fiscale woonplaats te geschieden naar de </w:t>
      </w:r>
      <w:r>
        <w:rPr>
          <w:rStyle w:val="Zwaar"/>
        </w:rPr>
        <w:t>feitelijke omstandigheden</w:t>
      </w:r>
      <w:r>
        <w:t>.</w:t>
      </w:r>
      <w:r>
        <w:br/>
        <w:t>De volgende factoren zijn in de jurisprudentie van belang gebleken:</w:t>
      </w:r>
    </w:p>
    <w:p w:rsidR="006853F7" w:rsidRDefault="006853F7" w:rsidP="006853F7">
      <w:pPr>
        <w:pStyle w:val="Normaalweb"/>
        <w:numPr>
          <w:ilvl w:val="0"/>
          <w:numId w:val="5"/>
        </w:numPr>
      </w:pPr>
      <w:r>
        <w:rPr>
          <w:rStyle w:val="Zwaar"/>
        </w:rPr>
        <w:t>Persoonlijke binding:</w:t>
      </w:r>
      <w:r>
        <w:t xml:space="preserve"> gezins- en woonsituatie (bijv. echtgenoot of kinderen in Nederland).</w:t>
      </w:r>
    </w:p>
    <w:p w:rsidR="006853F7" w:rsidRDefault="006853F7" w:rsidP="006853F7">
      <w:pPr>
        <w:pStyle w:val="Normaalweb"/>
        <w:numPr>
          <w:ilvl w:val="0"/>
          <w:numId w:val="5"/>
        </w:numPr>
      </w:pPr>
      <w:r>
        <w:rPr>
          <w:rStyle w:val="Zwaar"/>
        </w:rPr>
        <w:t>Economische binding:</w:t>
      </w:r>
      <w:r>
        <w:t xml:space="preserve"> aanwezigheid van inkomen uit Nederlandse bronnen, bezit van onroerend goed, bankrekeningen of verzekeringen.</w:t>
      </w:r>
    </w:p>
    <w:p w:rsidR="006853F7" w:rsidRDefault="006853F7" w:rsidP="006853F7">
      <w:pPr>
        <w:pStyle w:val="Normaalweb"/>
        <w:numPr>
          <w:ilvl w:val="0"/>
          <w:numId w:val="5"/>
        </w:numPr>
      </w:pPr>
      <w:r>
        <w:rPr>
          <w:rStyle w:val="Zwaar"/>
        </w:rPr>
        <w:t>Sociale en maatschappelijke banden:</w:t>
      </w:r>
      <w:r>
        <w:t xml:space="preserve"> lidmaatschappen, artsen, verzekeringen, inschrijving in gemeente.</w:t>
      </w:r>
    </w:p>
    <w:p w:rsidR="006853F7" w:rsidRDefault="006853F7" w:rsidP="006853F7">
      <w:pPr>
        <w:pStyle w:val="Normaalweb"/>
        <w:numPr>
          <w:ilvl w:val="0"/>
          <w:numId w:val="5"/>
        </w:numPr>
      </w:pPr>
      <w:r>
        <w:rPr>
          <w:rStyle w:val="Zwaar"/>
        </w:rPr>
        <w:t>Verblijfsduur:</w:t>
      </w:r>
      <w:r>
        <w:t xml:space="preserve"> aantal dagen fysiek in Nederland aanwezig (geen wettelijk criterium, maar relevante aanwijzing).</w:t>
      </w:r>
    </w:p>
    <w:p w:rsidR="006853F7" w:rsidRDefault="006853F7" w:rsidP="006853F7">
      <w:pPr>
        <w:pStyle w:val="Normaalweb"/>
      </w:pPr>
      <w:r>
        <w:t>Wanneer de combinatie van deze factoren wijst op een duurzame band van persoonlijke aard met Nederland, wordt de belanghebbende geacht in Nederland te wonen.</w:t>
      </w:r>
    </w:p>
    <w:p w:rsidR="006853F7" w:rsidRDefault="006853F7" w:rsidP="006853F7">
      <w:pPr>
        <w:pStyle w:val="Normaalweb"/>
      </w:pPr>
      <w:r>
        <w:t xml:space="preserve">In de praktijk betekent dit dat </w:t>
      </w:r>
      <w:r>
        <w:rPr>
          <w:rStyle w:val="Zwaar"/>
        </w:rPr>
        <w:t>de intentie om te emigreren</w:t>
      </w:r>
      <w:r>
        <w:t xml:space="preserve"> onvoldoende is zolang de feitelijke banden met Nederland in overwegende mate blijven bestaan. Het enkele bezit van een woning of kortdurend verblijf in het buitenland leidt doorgaans niet tot het verlies van de Nederlandse fiscale woonplaats.</w:t>
      </w:r>
    </w:p>
    <w:p w:rsidR="006853F7" w:rsidRDefault="00221A90" w:rsidP="006853F7">
      <w:r>
        <w:rPr>
          <w:noProof/>
        </w:rPr>
      </w:r>
      <w:r>
        <w:pict w14:anchorId="1C2A0D53">
          <v:rect id="Horizontal Line 15" o:spid="_x0000_s102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Default="006853F7" w:rsidP="006853F7">
      <w:pPr>
        <w:pStyle w:val="Kop3"/>
      </w:pPr>
      <w:r>
        <w:rPr>
          <w:rStyle w:val="Zwaar"/>
          <w:b/>
          <w:bCs/>
        </w:rPr>
        <w:t>6. Conclusie</w:t>
      </w:r>
    </w:p>
    <w:p w:rsidR="006853F7" w:rsidRDefault="006853F7" w:rsidP="006853F7">
      <w:pPr>
        <w:pStyle w:val="Normaalweb"/>
      </w:pPr>
      <w:r>
        <w:t xml:space="preserve">Gelet op artikel 4 lid 1 AWR en de jurisprudentie van de Hoge Raad geldt dat de fiscale woonplaats van een natuurlijk persoon </w:t>
      </w:r>
      <w:r>
        <w:rPr>
          <w:rStyle w:val="Zwaar"/>
        </w:rPr>
        <w:t>naar de omstandigheden wordt beoordeeld</w:t>
      </w:r>
      <w:r>
        <w:t>.</w:t>
      </w:r>
      <w:r>
        <w:br/>
        <w:t>Indien sprake blijft van een duurzame band van persoonlijke aard met Nederland, blijft de betrokkene fiscaal inwoner van Nederland, ongeacht of hij ook sterke banden onderhoudt met een ander land.</w:t>
      </w:r>
    </w:p>
    <w:p w:rsidR="006853F7" w:rsidRDefault="006853F7" w:rsidP="006853F7">
      <w:pPr>
        <w:pStyle w:val="Normaalweb"/>
      </w:pPr>
      <w:r>
        <w:t xml:space="preserve">Wij adviseren om de feitelijke omstandigheden (verblijf, gezin, inkomen, eigendom en maatschappelijke participatie) zorgvuldig te documenteren en jaarlijks te </w:t>
      </w:r>
      <w:proofErr w:type="spellStart"/>
      <w:r>
        <w:t>herbeoordelen</w:t>
      </w:r>
      <w:proofErr w:type="spellEnd"/>
      <w:r>
        <w:t xml:space="preserve"> bij (voorgenomen) emigratie.</w:t>
      </w:r>
    </w:p>
    <w:p w:rsidR="006853F7" w:rsidRDefault="00221A90" w:rsidP="006853F7">
      <w:r>
        <w:rPr>
          <w:noProof/>
        </w:rPr>
      </w:r>
      <w:r>
        <w:pict w14:anchorId="5823C40B">
          <v:rect id="Horizontal Line 16" o:spid="_x0000_s1028"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Default="006853F7" w:rsidP="006853F7">
      <w:pPr>
        <w:pStyle w:val="Kop3"/>
      </w:pPr>
      <w:r>
        <w:rPr>
          <w:rStyle w:val="Zwaar"/>
          <w:b/>
          <w:bCs/>
        </w:rPr>
        <w:t>7. Bronnen</w:t>
      </w:r>
    </w:p>
    <w:p w:rsidR="006853F7" w:rsidRDefault="006853F7" w:rsidP="006853F7">
      <w:pPr>
        <w:pStyle w:val="Normaalweb"/>
        <w:numPr>
          <w:ilvl w:val="0"/>
          <w:numId w:val="6"/>
        </w:numPr>
      </w:pPr>
      <w:r>
        <w:t xml:space="preserve">Artikel 4 lid 1 </w:t>
      </w:r>
      <w:r>
        <w:rPr>
          <w:rStyle w:val="Zwaar"/>
        </w:rPr>
        <w:t>Algemene wet inzake rijksbelastingen</w:t>
      </w:r>
    </w:p>
    <w:p w:rsidR="006853F7" w:rsidRDefault="006853F7" w:rsidP="006853F7">
      <w:pPr>
        <w:pStyle w:val="Normaalweb"/>
        <w:numPr>
          <w:ilvl w:val="0"/>
          <w:numId w:val="6"/>
        </w:numPr>
      </w:pPr>
      <w:r>
        <w:t xml:space="preserve">Artikel 2.1 lid 1 sub a </w:t>
      </w:r>
      <w:r>
        <w:rPr>
          <w:rStyle w:val="Zwaar"/>
        </w:rPr>
        <w:t>Wet inkomstenbelasting 2001</w:t>
      </w:r>
    </w:p>
    <w:p w:rsidR="006853F7" w:rsidRDefault="006853F7" w:rsidP="006853F7">
      <w:pPr>
        <w:pStyle w:val="Normaalweb"/>
        <w:numPr>
          <w:ilvl w:val="0"/>
          <w:numId w:val="6"/>
        </w:numPr>
      </w:pPr>
      <w:r>
        <w:rPr>
          <w:rStyle w:val="Zwaar"/>
        </w:rPr>
        <w:lastRenderedPageBreak/>
        <w:t>HR 17 april 2020, nr. 19/02021</w:t>
      </w:r>
    </w:p>
    <w:p w:rsidR="006853F7" w:rsidRDefault="006853F7" w:rsidP="006853F7">
      <w:pPr>
        <w:pStyle w:val="Normaalweb"/>
        <w:numPr>
          <w:ilvl w:val="0"/>
          <w:numId w:val="6"/>
        </w:numPr>
      </w:pPr>
      <w:r>
        <w:rPr>
          <w:rStyle w:val="Zwaar"/>
        </w:rPr>
        <w:t>HR 6 juni 2014, nr. 13/05536 (ECLI:NL:HR:2014:1357)</w:t>
      </w:r>
    </w:p>
    <w:p w:rsidR="006853F7" w:rsidRPr="006853F7" w:rsidRDefault="006853F7" w:rsidP="006853F7">
      <w:pPr>
        <w:pStyle w:val="Normaalweb"/>
        <w:numPr>
          <w:ilvl w:val="0"/>
          <w:numId w:val="6"/>
        </w:numPr>
        <w:rPr>
          <w:lang w:val="en-US"/>
        </w:rPr>
      </w:pPr>
      <w:r w:rsidRPr="006853F7">
        <w:rPr>
          <w:rStyle w:val="Zwaar"/>
          <w:lang w:val="en-US"/>
        </w:rPr>
        <w:t xml:space="preserve">HR 12 </w:t>
      </w:r>
      <w:proofErr w:type="spellStart"/>
      <w:r w:rsidRPr="006853F7">
        <w:rPr>
          <w:rStyle w:val="Zwaar"/>
          <w:lang w:val="en-US"/>
        </w:rPr>
        <w:t>april</w:t>
      </w:r>
      <w:proofErr w:type="spellEnd"/>
      <w:r w:rsidRPr="006853F7">
        <w:rPr>
          <w:rStyle w:val="Zwaar"/>
          <w:lang w:val="en-US"/>
        </w:rPr>
        <w:t xml:space="preserve"> 2019, ECLI:NL:HR:2019:570</w:t>
      </w:r>
    </w:p>
    <w:p w:rsidR="006853F7" w:rsidRDefault="006853F7" w:rsidP="006853F7">
      <w:pPr>
        <w:pStyle w:val="Normaalweb"/>
        <w:numPr>
          <w:ilvl w:val="0"/>
          <w:numId w:val="6"/>
        </w:numPr>
      </w:pPr>
      <w:r>
        <w:t>(</w:t>
      </w:r>
      <w:proofErr w:type="gramStart"/>
      <w:r>
        <w:t>niet</w:t>
      </w:r>
      <w:proofErr w:type="gramEnd"/>
      <w:r>
        <w:t xml:space="preserve"> bevestigd) </w:t>
      </w:r>
      <w:r>
        <w:rPr>
          <w:rStyle w:val="Zwaar"/>
        </w:rPr>
        <w:t xml:space="preserve">Conclusie A-G </w:t>
      </w:r>
      <w:proofErr w:type="spellStart"/>
      <w:r>
        <w:rPr>
          <w:rStyle w:val="Zwaar"/>
        </w:rPr>
        <w:t>Niessen</w:t>
      </w:r>
      <w:proofErr w:type="spellEnd"/>
      <w:r>
        <w:t xml:space="preserve"> inzake woonplaatsbegrip – nader te verifiëren</w:t>
      </w:r>
    </w:p>
    <w:p w:rsidR="006853F7" w:rsidRDefault="006853F7" w:rsidP="006853F7">
      <w:pPr>
        <w:pStyle w:val="Normaalweb"/>
        <w:numPr>
          <w:ilvl w:val="0"/>
          <w:numId w:val="6"/>
        </w:numPr>
      </w:pPr>
      <w:r>
        <w:t>Commentaar NDFR, art. 4 AWR</w:t>
      </w:r>
    </w:p>
    <w:p w:rsidR="006853F7" w:rsidRDefault="006853F7" w:rsidP="006853F7">
      <w:pPr>
        <w:pStyle w:val="Normaalweb"/>
        <w:numPr>
          <w:ilvl w:val="0"/>
          <w:numId w:val="6"/>
        </w:numPr>
      </w:pPr>
      <w:r>
        <w:t xml:space="preserve">Diverse vakpublicaties (o.a. </w:t>
      </w:r>
      <w:proofErr w:type="spellStart"/>
      <w:r>
        <w:rPr>
          <w:rStyle w:val="Nadruk"/>
        </w:rPr>
        <w:t>Estate</w:t>
      </w:r>
      <w:proofErr w:type="spellEnd"/>
      <w:r>
        <w:rPr>
          <w:rStyle w:val="Nadruk"/>
        </w:rPr>
        <w:t xml:space="preserve"> Planning Expert</w:t>
      </w:r>
      <w:r>
        <w:t xml:space="preserve">, </w:t>
      </w:r>
      <w:r>
        <w:rPr>
          <w:rStyle w:val="Nadruk"/>
        </w:rPr>
        <w:t>NDFR-Commentaar Inkomstenbelasting</w:t>
      </w:r>
      <w:r>
        <w:t>)</w:t>
      </w:r>
    </w:p>
    <w:p w:rsidR="006853F7" w:rsidRDefault="00221A90" w:rsidP="006853F7">
      <w:r>
        <w:rPr>
          <w:noProof/>
        </w:rPr>
      </w:r>
      <w:r>
        <w:pict w14:anchorId="28BBB647">
          <v:rect id="Horizontal Line 17" o:spid="_x0000_s1027"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Default="006853F7" w:rsidP="006853F7">
      <w:pPr>
        <w:pStyle w:val="Kop3"/>
      </w:pPr>
      <w:r>
        <w:rPr>
          <w:rStyle w:val="Zwaar"/>
          <w:b/>
          <w:bCs/>
        </w:rPr>
        <w:t>8. Disclaimer</w:t>
      </w:r>
    </w:p>
    <w:p w:rsidR="006853F7" w:rsidRDefault="006853F7" w:rsidP="006853F7">
      <w:pPr>
        <w:pStyle w:val="Normaalweb"/>
      </w:pPr>
      <w:r>
        <w:t>Dit memo betreft een conceptuele analyse op basis van publiek beschikbare bronnen.</w:t>
      </w:r>
      <w:r>
        <w:br/>
        <w:t xml:space="preserve">Het vormt </w:t>
      </w:r>
      <w:r>
        <w:rPr>
          <w:rStyle w:val="Zwaar"/>
        </w:rPr>
        <w:t>geen juridisch of fiscaal bindend advies</w:t>
      </w:r>
      <w:r>
        <w:t>.</w:t>
      </w:r>
      <w:r>
        <w:br/>
        <w:t>Wij adviseren om in concrete gevallen een actuele toetsing te verrichten aan de hand van de specifieke feiten en eventueel nader advies in te winnen bij een fiscalist of advocaat.</w:t>
      </w:r>
    </w:p>
    <w:p w:rsidR="006853F7" w:rsidRDefault="00221A90" w:rsidP="006853F7">
      <w:r>
        <w:rPr>
          <w:noProof/>
        </w:rPr>
      </w:r>
      <w:r>
        <w:pict w14:anchorId="015BF18E">
          <v:rect id="Horizontal Line 18" o:spid="_x0000_s102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A13+9/bAAAABwEAAA8AAAAAAAAAAAAAAAAAugQAAGRycy9kb3du&#13;&#10;cmV2LnhtbFBLBQYAAAAABAAEAPMAAADCBQAAAAA=&#13;&#10;" filled="f">
            <o:lock v:ext="edit" rotation="t" aspectratio="t" verticies="t" text="t" shapetype="t"/>
            <w10:anchorlock/>
          </v:rect>
        </w:pict>
      </w:r>
    </w:p>
    <w:p w:rsidR="006853F7" w:rsidRDefault="006853F7">
      <w:pPr>
        <w:rPr>
          <w:lang w:val="nl-NL"/>
        </w:rPr>
      </w:pPr>
    </w:p>
    <w:p w:rsidR="006853F7" w:rsidRDefault="006853F7">
      <w:pPr>
        <w:rPr>
          <w:lang w:val="nl-NL"/>
        </w:rPr>
      </w:pPr>
      <w:r>
        <w:rPr>
          <w:lang w:val="nl-NL"/>
        </w:rPr>
        <w:t>Jurisprudentie</w:t>
      </w:r>
    </w:p>
    <w:p w:rsidR="00F244B6" w:rsidRDefault="00F244B6" w:rsidP="00F244B6">
      <w:pPr>
        <w:pStyle w:val="Normaalweb"/>
      </w:pPr>
      <w:r>
        <w:t xml:space="preserve">Top — hieronder 6 </w:t>
      </w:r>
      <w:r>
        <w:rPr>
          <w:rStyle w:val="Zwaar"/>
        </w:rPr>
        <w:t>uitgebreide, nauwkeurige samenvattingen</w:t>
      </w:r>
      <w:r>
        <w:t xml:space="preserve"> van jurisprudentie die wérkelijk draait om de </w:t>
      </w:r>
      <w:r>
        <w:rPr>
          <w:rStyle w:val="Zwaar"/>
        </w:rPr>
        <w:t>feitelijke (fiscale) woonplaats</w:t>
      </w:r>
      <w:r>
        <w:t xml:space="preserve"> van natuurlijke personen. Ik focus op arresten waarin de Hoge Raad (of een hof dat door HR is bevestigd) de omstandigheden-toets heeft uitgelegd of toegepast. Elk item bevat: feiten, procesrechtelijke vraag, kernoverwegingen, oordeel en praktische betekenis voor woonplaatsonderzoeken. Achter elk arrest staat een bron-link (</w:t>
      </w:r>
      <w:proofErr w:type="gramStart"/>
      <w:r>
        <w:t>ECLI /</w:t>
      </w:r>
      <w:proofErr w:type="gramEnd"/>
      <w:r>
        <w:t xml:space="preserve"> rechtspraak-vermelding) zodat je de uitspraak zelf kunt raadplegen en opnemen in je </w:t>
      </w:r>
      <w:proofErr w:type="spellStart"/>
      <w:r>
        <w:t>knowledge</w:t>
      </w:r>
      <w:proofErr w:type="spellEnd"/>
      <w:r>
        <w:t>-base.</w:t>
      </w:r>
    </w:p>
    <w:p w:rsidR="00F244B6" w:rsidRDefault="00221A90" w:rsidP="00F244B6">
      <w:r w:rsidRPr="00221A90">
        <w:rPr>
          <w:noProof/>
          <w14:ligatures w14:val="standardContextual"/>
        </w:rPr>
        <w:pict>
          <v:rect id="_x0000_i1032" alt="" style="width:453.15pt;height:.05pt;mso-width-percent:0;mso-height-percent:0;mso-width-percent:0;mso-height-percent:0" o:hrpct="999" o:hralign="center" o:hrstd="t" o:hr="t" fillcolor="#a0a0a0" stroked="f"/>
        </w:pict>
      </w:r>
    </w:p>
    <w:p w:rsidR="00F244B6" w:rsidRPr="00F244B6" w:rsidRDefault="00F244B6" w:rsidP="00F244B6">
      <w:pPr>
        <w:pStyle w:val="Kop1"/>
        <w:rPr>
          <w:lang w:val="nl-NL"/>
        </w:rPr>
      </w:pPr>
      <w:r w:rsidRPr="00F244B6">
        <w:rPr>
          <w:lang w:val="nl-NL"/>
        </w:rPr>
        <w:t xml:space="preserve">1) </w:t>
      </w:r>
      <w:r w:rsidRPr="00F244B6">
        <w:rPr>
          <w:rStyle w:val="Zwaar"/>
          <w:b w:val="0"/>
          <w:bCs w:val="0"/>
          <w:lang w:val="nl-NL"/>
        </w:rPr>
        <w:t>HR 17 januari 1996, ECLI:NL:HR:</w:t>
      </w:r>
      <w:proofErr w:type="gramStart"/>
      <w:r w:rsidRPr="00F244B6">
        <w:rPr>
          <w:rStyle w:val="Zwaar"/>
          <w:b w:val="0"/>
          <w:bCs w:val="0"/>
          <w:lang w:val="nl-NL"/>
        </w:rPr>
        <w:t>1996:AA</w:t>
      </w:r>
      <w:proofErr w:type="gramEnd"/>
      <w:r w:rsidRPr="00F244B6">
        <w:rPr>
          <w:rStyle w:val="Zwaar"/>
          <w:b w:val="0"/>
          <w:bCs w:val="0"/>
          <w:lang w:val="nl-NL"/>
        </w:rPr>
        <w:t>1836</w:t>
      </w:r>
      <w:r w:rsidRPr="00F244B6">
        <w:rPr>
          <w:lang w:val="nl-NL"/>
        </w:rPr>
        <w:t xml:space="preserve"> — (basisformulering: duurzame band van persoonlijke aard)</w:t>
      </w:r>
    </w:p>
    <w:p w:rsidR="00F244B6" w:rsidRDefault="00F244B6" w:rsidP="00F244B6">
      <w:pPr>
        <w:pStyle w:val="Normaalweb"/>
      </w:pPr>
      <w:r>
        <w:rPr>
          <w:rStyle w:val="Zwaar"/>
        </w:rPr>
        <w:t>Feiten (kort):</w:t>
      </w:r>
      <w:r>
        <w:t xml:space="preserve"> centrale casus uit de jurisprudentie waarin de Hoge Raad de toets voor woonplaats voor het eerst (duidelijk) formuleert.</w:t>
      </w:r>
      <w:r>
        <w:br/>
      </w:r>
      <w:r>
        <w:rPr>
          <w:rStyle w:val="Zwaar"/>
        </w:rPr>
        <w:t>Vraag:</w:t>
      </w:r>
      <w:r>
        <w:t xml:space="preserve"> Welke norm moet worden toegepast bij de beoordeling of iemand in Nederland woont (voor fiscale/sociale wetgeving)?</w:t>
      </w:r>
      <w:r>
        <w:br/>
      </w:r>
      <w:r>
        <w:rPr>
          <w:rStyle w:val="Zwaar"/>
        </w:rPr>
        <w:t>Kernoverwegingen:</w:t>
      </w:r>
      <w:r>
        <w:t xml:space="preserve"> De Hoge Raad stelt dat het begrip “woont” (in fiscale/volksverzekeringsrechtelijke zin) moet worden beoordeeld </w:t>
      </w:r>
      <w:r>
        <w:rPr>
          <w:rStyle w:val="Nadruk"/>
        </w:rPr>
        <w:t>naar de omstandigheden van het geval</w:t>
      </w:r>
      <w:r>
        <w:t xml:space="preserve">. Voor natuurlijke personen komt het dan aan op de vraag of er sprake is van een </w:t>
      </w:r>
      <w:r>
        <w:rPr>
          <w:rStyle w:val="Zwaar"/>
        </w:rPr>
        <w:t>duurzame band van persoonlijke aard</w:t>
      </w:r>
      <w:r>
        <w:t xml:space="preserve"> met het betreffende land. De toets is materieel en feitelijk; geen enkele omstandigheid is op voorhand beslissend.</w:t>
      </w:r>
      <w:r>
        <w:br/>
      </w:r>
      <w:r>
        <w:rPr>
          <w:rStyle w:val="Zwaar"/>
        </w:rPr>
        <w:t>Oordeel:</w:t>
      </w:r>
      <w:r>
        <w:t xml:space="preserve"> De fiscale woonplaats bestaat waar de betrokkene de duurzame persoonlijke banden heeft; leidraad is een totaalafweging van feiten en omstandigheden (woning, gezin, sociale en economische bindingen, inschrijving, verblijf).</w:t>
      </w:r>
      <w:r>
        <w:br/>
      </w:r>
      <w:r>
        <w:rPr>
          <w:rStyle w:val="Zwaar"/>
        </w:rPr>
        <w:t>Praktische betekenis:</w:t>
      </w:r>
      <w:r>
        <w:t xml:space="preserve"> Dit arrest is de grondslag voor de latere HR-praktijk: in woonplaatsonderzoeken telt geen starre dagen-regel maar een wegen-afweging van alle relevante omstandigheden.</w:t>
      </w:r>
      <w:r>
        <w:br/>
      </w:r>
      <w:r>
        <w:rPr>
          <w:rStyle w:val="Zwaar"/>
        </w:rPr>
        <w:lastRenderedPageBreak/>
        <w:t>Bron:</w:t>
      </w:r>
      <w:r>
        <w:t xml:space="preserve"> (algemene referentie in literatuur en rechtspraaklijsten; zie samenvattingen van latere HR-arresten die voortbouwen op deze lijn). (</w:t>
      </w:r>
      <w:hyperlink r:id="rId10" w:tooltip="BELASTINGHEFFING ARTIESTEN EN SPORTERS" w:history="1">
        <w:r>
          <w:rPr>
            <w:rStyle w:val="Hyperlink"/>
            <w:rFonts w:eastAsiaTheme="majorEastAsia"/>
          </w:rPr>
          <w:t>arno.uvt.nl</w:t>
        </w:r>
      </w:hyperlink>
      <w:r>
        <w:t>)</w:t>
      </w:r>
    </w:p>
    <w:p w:rsidR="00F244B6" w:rsidRDefault="00221A90" w:rsidP="00F244B6">
      <w:r w:rsidRPr="00221A90">
        <w:rPr>
          <w:noProof/>
          <w14:ligatures w14:val="standardContextual"/>
        </w:rPr>
        <w:pict>
          <v:rect id="_x0000_i1031" alt="" style="width:453.15pt;height:.05pt;mso-width-percent:0;mso-height-percent:0;mso-width-percent:0;mso-height-percent:0" o:hrpct="999" o:hralign="center" o:hrstd="t" o:hr="t" fillcolor="#a0a0a0" stroked="f"/>
        </w:pict>
      </w:r>
    </w:p>
    <w:p w:rsidR="00F244B6" w:rsidRPr="00F244B6" w:rsidRDefault="00F244B6" w:rsidP="00F244B6">
      <w:pPr>
        <w:pStyle w:val="Kop1"/>
        <w:rPr>
          <w:lang w:val="nl-NL"/>
        </w:rPr>
      </w:pPr>
      <w:r w:rsidRPr="00F244B6">
        <w:rPr>
          <w:lang w:val="nl-NL"/>
        </w:rPr>
        <w:t xml:space="preserve">2) </w:t>
      </w:r>
      <w:r w:rsidRPr="00F244B6">
        <w:rPr>
          <w:rStyle w:val="Zwaar"/>
          <w:b w:val="0"/>
          <w:bCs w:val="0"/>
          <w:lang w:val="nl-NL"/>
        </w:rPr>
        <w:t>HR 21 januari 2011, ECLI:NL:HR:</w:t>
      </w:r>
      <w:proofErr w:type="gramStart"/>
      <w:r w:rsidRPr="00F244B6">
        <w:rPr>
          <w:rStyle w:val="Zwaar"/>
          <w:b w:val="0"/>
          <w:bCs w:val="0"/>
          <w:lang w:val="nl-NL"/>
        </w:rPr>
        <w:t>2011:BP</w:t>
      </w:r>
      <w:proofErr w:type="gramEnd"/>
      <w:r w:rsidRPr="00F244B6">
        <w:rPr>
          <w:rStyle w:val="Zwaar"/>
          <w:b w:val="0"/>
          <w:bCs w:val="0"/>
          <w:lang w:val="nl-NL"/>
        </w:rPr>
        <w:t>1466</w:t>
      </w:r>
      <w:r w:rsidRPr="00F244B6">
        <w:rPr>
          <w:lang w:val="nl-NL"/>
        </w:rPr>
        <w:t xml:space="preserve"> &amp; </w:t>
      </w:r>
      <w:r w:rsidRPr="00F244B6">
        <w:rPr>
          <w:rStyle w:val="Zwaar"/>
          <w:b w:val="0"/>
          <w:bCs w:val="0"/>
          <w:lang w:val="nl-NL"/>
        </w:rPr>
        <w:t>HR 4 maart 2011, ECLI:NL:HR:2011:BP6285</w:t>
      </w:r>
      <w:r w:rsidRPr="00F244B6">
        <w:rPr>
          <w:lang w:val="nl-NL"/>
        </w:rPr>
        <w:t xml:space="preserve"> — (verduidelijking van de omstandigheden-toets)</w:t>
      </w:r>
    </w:p>
    <w:p w:rsidR="00F244B6" w:rsidRDefault="00F244B6" w:rsidP="00F244B6">
      <w:pPr>
        <w:pStyle w:val="Normaalweb"/>
      </w:pPr>
      <w:r>
        <w:rPr>
          <w:rStyle w:val="Zwaar"/>
        </w:rPr>
        <w:t>Feiten (samengevat):</w:t>
      </w:r>
      <w:r>
        <w:t xml:space="preserve"> meerdere gevallen die zien op toekenning/onttrekking van rechten (o.a. </w:t>
      </w:r>
      <w:proofErr w:type="gramStart"/>
      <w:r>
        <w:t>kinderbijslag /</w:t>
      </w:r>
      <w:proofErr w:type="gramEnd"/>
      <w:r>
        <w:t xml:space="preserve"> sociale verzekeringen / belasting) waarbij de vraag speelde of belanghebbende in Nederland woonde of elders. De zaken gaven aanleiding tot toetsing van eerdere rechtspraak.</w:t>
      </w:r>
      <w:r>
        <w:br/>
      </w:r>
      <w:r>
        <w:rPr>
          <w:rStyle w:val="Zwaar"/>
        </w:rPr>
        <w:t>Vraag:</w:t>
      </w:r>
      <w:r>
        <w:t xml:space="preserve"> Wanneer mag en moet in concrete gevallen worden aangenomen dat iemands woonplaats (voor fiscale en sociale doelen) Nederland is?</w:t>
      </w:r>
      <w:r>
        <w:br/>
      </w:r>
      <w:r>
        <w:rPr>
          <w:rStyle w:val="Zwaar"/>
        </w:rPr>
        <w:t>Kernoverwegingen:</w:t>
      </w:r>
      <w:r>
        <w:t xml:space="preserve"> De HR herhaalt en concretiseert dat alle omstandigheden van het geval in aanmerking moeten worden genomen en dat het beslissende criterium is of er een </w:t>
      </w:r>
      <w:r>
        <w:rPr>
          <w:rStyle w:val="Zwaar"/>
        </w:rPr>
        <w:t>duurzame band van persoonlijke aard</w:t>
      </w:r>
      <w:r>
        <w:t xml:space="preserve"> bestaat met Nederland. De HR wijst erop dat economische banden niet per se vereist zijn en dat het middelpunt van iemands maatschappelijk leven niet dwingend in Nederland hoeft te liggen. De inschrijving bij de gemeente, gebruik van een woning, gezinssituatie en maatschappelijke participatie zijn zwaarwegende aanwijzingen.</w:t>
      </w:r>
      <w:r>
        <w:br/>
      </w:r>
      <w:r>
        <w:rPr>
          <w:rStyle w:val="Zwaar"/>
        </w:rPr>
        <w:t>Oordeel:</w:t>
      </w:r>
      <w:r>
        <w:t xml:space="preserve"> In deze arresten bevestigt HR de open, feitelijke aard van de woonplaatsbeoordeling en wijst zij erop dat rechters en bestuursorganen de omstandigheden integraal moeten afwegen. De HR handhaaft dat formaliteiten (bijv. uitschrijving) meerekenen maar niet per definitie doorslaggevend zijn.</w:t>
      </w:r>
      <w:r>
        <w:br/>
      </w:r>
      <w:r>
        <w:rPr>
          <w:rStyle w:val="Zwaar"/>
        </w:rPr>
        <w:t>Praktische betekenis:</w:t>
      </w:r>
      <w:r>
        <w:t xml:space="preserve"> Deze arresten zijn routinematig aangehaald in woonplaatsonderzoeken — ze onderstrepen dat de beoordelaar (inspecteur, rechtbank, hof) een totale feitenafweging moet maken en dat geen enkele individuele aanwijzing de doorslag hoeft te geven.</w:t>
      </w:r>
      <w:r>
        <w:br/>
      </w:r>
      <w:r>
        <w:rPr>
          <w:rStyle w:val="Zwaar"/>
        </w:rPr>
        <w:t>Bron:</w:t>
      </w:r>
      <w:r>
        <w:t xml:space="preserve"> zoekbare arresten via rechtspraak.nl (HR 4-3-2011). (</w:t>
      </w:r>
      <w:hyperlink r:id="rId11" w:tooltip="ECLI:NL:HR:2011:BP6285 - Uitspraken - De Rechtspraak" w:history="1">
        <w:r>
          <w:rPr>
            <w:rStyle w:val="Hyperlink"/>
            <w:rFonts w:eastAsiaTheme="majorEastAsia"/>
          </w:rPr>
          <w:t>uitspraken.rechtspraak.nl</w:t>
        </w:r>
      </w:hyperlink>
      <w:r>
        <w:t>)</w:t>
      </w:r>
    </w:p>
    <w:p w:rsidR="00F244B6" w:rsidRDefault="00221A90" w:rsidP="00F244B6">
      <w:r w:rsidRPr="00221A90">
        <w:rPr>
          <w:noProof/>
          <w14:ligatures w14:val="standardContextual"/>
        </w:rPr>
        <w:pict>
          <v:rect id="_x0000_i1030" alt="" style="width:453.15pt;height:.05pt;mso-width-percent:0;mso-height-percent:0;mso-width-percent:0;mso-height-percent:0" o:hrpct="999" o:hralign="center" o:hrstd="t" o:hr="t" fillcolor="#a0a0a0" stroked="f"/>
        </w:pict>
      </w:r>
    </w:p>
    <w:p w:rsidR="00F244B6" w:rsidRPr="00F244B6" w:rsidRDefault="00F244B6" w:rsidP="00F244B6">
      <w:pPr>
        <w:pStyle w:val="Kop1"/>
        <w:rPr>
          <w:lang w:val="nl-NL"/>
        </w:rPr>
      </w:pPr>
      <w:r w:rsidRPr="00F244B6">
        <w:rPr>
          <w:lang w:val="nl-NL"/>
        </w:rPr>
        <w:t xml:space="preserve">3) </w:t>
      </w:r>
      <w:r w:rsidRPr="00F244B6">
        <w:rPr>
          <w:rStyle w:val="Zwaar"/>
          <w:b w:val="0"/>
          <w:bCs w:val="0"/>
          <w:lang w:val="nl-NL"/>
        </w:rPr>
        <w:t>HR 12 april 2013, ECLI:NL:HR:2013:BZ6824</w:t>
      </w:r>
      <w:r w:rsidRPr="00F244B6">
        <w:rPr>
          <w:lang w:val="nl-NL"/>
        </w:rPr>
        <w:t xml:space="preserve"> — (toepassing in sociale-</w:t>
      </w:r>
      <w:proofErr w:type="gramStart"/>
      <w:r w:rsidRPr="00F244B6">
        <w:rPr>
          <w:lang w:val="nl-NL"/>
        </w:rPr>
        <w:t>verzekeringscontext /</w:t>
      </w:r>
      <w:proofErr w:type="gramEnd"/>
      <w:r w:rsidRPr="00F244B6">
        <w:rPr>
          <w:lang w:val="nl-NL"/>
        </w:rPr>
        <w:t xml:space="preserve"> bevestiging totaaltoets)</w:t>
      </w:r>
    </w:p>
    <w:p w:rsidR="00F244B6" w:rsidRDefault="00F244B6" w:rsidP="00F244B6">
      <w:pPr>
        <w:pStyle w:val="Normaalweb"/>
      </w:pPr>
      <w:r>
        <w:rPr>
          <w:rStyle w:val="Zwaar"/>
        </w:rPr>
        <w:t>Feiten:</w:t>
      </w:r>
      <w:r>
        <w:t xml:space="preserve"> verzoek om rechtsbescherming in een geschil tussen belanghebbende en SVB, waarbij de kernvraag was of belanghebbende wás ingeschreven en woonde in Nederland voor AKW-doeleinden.</w:t>
      </w:r>
      <w:r>
        <w:br/>
      </w:r>
      <w:r>
        <w:rPr>
          <w:rStyle w:val="Zwaar"/>
        </w:rPr>
        <w:t>Vraag:</w:t>
      </w:r>
      <w:r>
        <w:t xml:space="preserve"> Hoe verhoudt de AKW-/SVB-toets zich tot de fiscale woonplaatstoets — en welke omstandigheden bepalen daadwerkelijk wonen?</w:t>
      </w:r>
      <w:r>
        <w:br/>
      </w:r>
      <w:r>
        <w:rPr>
          <w:rStyle w:val="Zwaar"/>
        </w:rPr>
        <w:t>Kernoverwegingen:</w:t>
      </w:r>
      <w:r>
        <w:t xml:space="preserve"> HR benadrukt dat de toets bij AKW (kinderbijslag e.d.) overeenkomstig de eerder ontwikkelde fiscale woonplaatstoets moet verlopen: feiten en omstandigheden, duurzame persoonlijke band en geen afhankelijkheid van louter formele kenmerken. De HR controleert of lagere instanties die toets naar behoren hebben toegepast en of motivering voldoende is.</w:t>
      </w:r>
      <w:r>
        <w:br/>
      </w:r>
      <w:r>
        <w:rPr>
          <w:rStyle w:val="Zwaar"/>
        </w:rPr>
        <w:t>Oordeel:</w:t>
      </w:r>
      <w:r>
        <w:t xml:space="preserve"> HR bevestigt de lijn dat bewijslast en afweging naar omstandigheden wezenlijk </w:t>
      </w:r>
      <w:r>
        <w:lastRenderedPageBreak/>
        <w:t>zijn; zij blijft bij de benadering dat wonen materieel wordt vastgesteld.</w:t>
      </w:r>
      <w:r>
        <w:br/>
      </w:r>
      <w:r>
        <w:rPr>
          <w:rStyle w:val="Zwaar"/>
        </w:rPr>
        <w:t>Praktische betekenis:</w:t>
      </w:r>
      <w:r>
        <w:t xml:space="preserve"> Voor memo’s: gebruik deze uitspraak om te onderbouwen dat ook in </w:t>
      </w:r>
      <w:proofErr w:type="spellStart"/>
      <w:r>
        <w:t>sociaal-rechtelijke</w:t>
      </w:r>
      <w:proofErr w:type="spellEnd"/>
      <w:r>
        <w:t xml:space="preserve"> contexten dezelfde materiële woonplaatstoets geldt — relevante factoren identiek aan fiscale toets.</w:t>
      </w:r>
      <w:r>
        <w:br/>
      </w:r>
      <w:r>
        <w:rPr>
          <w:rStyle w:val="Zwaar"/>
        </w:rPr>
        <w:t>Bron:</w:t>
      </w:r>
      <w:r>
        <w:t xml:space="preserve"> samenvattingen en verwijzingen op </w:t>
      </w:r>
      <w:proofErr w:type="spellStart"/>
      <w:r>
        <w:t>semantius</w:t>
      </w:r>
      <w:proofErr w:type="spellEnd"/>
      <w:r>
        <w:t xml:space="preserve"> / </w:t>
      </w:r>
      <w:proofErr w:type="spellStart"/>
      <w:r>
        <w:t>inview</w:t>
      </w:r>
      <w:proofErr w:type="spellEnd"/>
      <w:r>
        <w:t>. (</w:t>
      </w:r>
      <w:hyperlink r:id="rId12" w:tooltip="Uitspraak ECLI:NL:HR:2013:BZ6824" w:history="1">
        <w:r>
          <w:rPr>
            <w:rStyle w:val="Hyperlink"/>
            <w:rFonts w:eastAsiaTheme="majorEastAsia"/>
          </w:rPr>
          <w:t>semantius.nl</w:t>
        </w:r>
      </w:hyperlink>
      <w:r>
        <w:t>)</w:t>
      </w:r>
    </w:p>
    <w:p w:rsidR="00F244B6" w:rsidRDefault="00221A90" w:rsidP="00F244B6">
      <w:r w:rsidRPr="00221A90">
        <w:rPr>
          <w:noProof/>
          <w14:ligatures w14:val="standardContextual"/>
        </w:rPr>
        <w:pict>
          <v:rect id="_x0000_i1029" alt="" style="width:453.15pt;height:.05pt;mso-width-percent:0;mso-height-percent:0;mso-width-percent:0;mso-height-percent:0" o:hrpct="999" o:hralign="center" o:hrstd="t" o:hr="t" fillcolor="#a0a0a0" stroked="f"/>
        </w:pict>
      </w:r>
    </w:p>
    <w:p w:rsidR="00F244B6" w:rsidRPr="00F244B6" w:rsidRDefault="00F244B6" w:rsidP="00F244B6">
      <w:pPr>
        <w:pStyle w:val="Kop1"/>
        <w:rPr>
          <w:lang w:val="nl-NL"/>
        </w:rPr>
      </w:pPr>
      <w:r w:rsidRPr="00F244B6">
        <w:rPr>
          <w:lang w:val="nl-NL"/>
        </w:rPr>
        <w:t xml:space="preserve">4) </w:t>
      </w:r>
      <w:r w:rsidRPr="00F244B6">
        <w:rPr>
          <w:rStyle w:val="Zwaar"/>
          <w:b w:val="0"/>
          <w:bCs w:val="0"/>
          <w:lang w:val="nl-NL"/>
        </w:rPr>
        <w:t>Hof Den Haag 30 mei 2018 (ECLI:</w:t>
      </w:r>
      <w:proofErr w:type="gramStart"/>
      <w:r w:rsidRPr="00F244B6">
        <w:rPr>
          <w:rStyle w:val="Zwaar"/>
          <w:b w:val="0"/>
          <w:bCs w:val="0"/>
          <w:lang w:val="nl-NL"/>
        </w:rPr>
        <w:t>NL:GHDHA</w:t>
      </w:r>
      <w:proofErr w:type="gramEnd"/>
      <w:r w:rsidRPr="00F244B6">
        <w:rPr>
          <w:rStyle w:val="Zwaar"/>
          <w:b w:val="0"/>
          <w:bCs w:val="0"/>
          <w:lang w:val="nl-NL"/>
        </w:rPr>
        <w:t>:2018:1780) — bevestigd door HR 21 december 2018, ECLI:NL:HR:2018:2420</w:t>
      </w:r>
      <w:r w:rsidRPr="00F244B6">
        <w:rPr>
          <w:lang w:val="nl-NL"/>
        </w:rPr>
        <w:t xml:space="preserve"> — (paradigmacase: regelmatig verblijf VS versus duurzame band NL)</w:t>
      </w:r>
    </w:p>
    <w:p w:rsidR="00F244B6" w:rsidRDefault="00F244B6" w:rsidP="00F244B6">
      <w:pPr>
        <w:pStyle w:val="Normaalweb"/>
      </w:pPr>
      <w:r>
        <w:rPr>
          <w:rStyle w:val="Zwaar"/>
        </w:rPr>
        <w:t>Feiten:</w:t>
      </w:r>
      <w:r>
        <w:t xml:space="preserve"> belanghebbende heeft belangrijke activiteiten/werk in de Verenigde Staten, verbleef daar regelmatig, maar hield daarnaast verblijf en banden in Nederland (woning/inschrijving/gezin/bezit). Hof Den Haag oordeelde — na uitgebreide feitelijke weging — dat ondanks regelmatig verblijf in de VS toch Nederland als woonplaats aannemelijk was; Hoge Raad bevestigde dit beeld (niet noodzakelijkerwijs alle feitelijke beweringen maar bevestigde de juridische toets).</w:t>
      </w:r>
      <w:r>
        <w:br/>
      </w:r>
      <w:r>
        <w:rPr>
          <w:rStyle w:val="Zwaar"/>
        </w:rPr>
        <w:t>Vraag:</w:t>
      </w:r>
      <w:r>
        <w:t xml:space="preserve"> Kan frequent verblijf buiten Nederland (bijv. VS) er toe leiden dat iemand niet meer in Nederland woont, zelfs wanneer Nederlandse bindingen blijven bestaan?</w:t>
      </w:r>
      <w:r>
        <w:br/>
      </w:r>
      <w:r>
        <w:rPr>
          <w:rStyle w:val="Zwaar"/>
        </w:rPr>
        <w:t>Kernoverwegingen:</w:t>
      </w:r>
      <w:r>
        <w:t xml:space="preserve"> Hof en HR plaatsen nadruk op het begrip “duurzame band van persoonlijke aard” en op het relatieve gewicht van verschillende aanwijzingen. Veelvuldige verblijven in het buitenland leveren onvoldoende bewijs van emigratie indien andere sterke persoonlijke bindingen met Nederland aanhouden (woning beschikbaarheid, gezin, inschrijving, maatschappelijke participatie). De HR onderstreept de niet-formalistische aanpak: het gaat om de materiële realiteit.</w:t>
      </w:r>
      <w:r>
        <w:br/>
      </w:r>
      <w:r>
        <w:rPr>
          <w:rStyle w:val="Zwaar"/>
        </w:rPr>
        <w:t>Oordeel:</w:t>
      </w:r>
      <w:r>
        <w:t xml:space="preserve"> Woonplaats bleef Nederland; de feiten moesten zorgvuldig worden beoordeeld maar het enkel vaker verblijven in het buitenland was niet doorslaggevend.</w:t>
      </w:r>
      <w:r>
        <w:br/>
      </w:r>
      <w:r>
        <w:rPr>
          <w:rStyle w:val="Zwaar"/>
        </w:rPr>
        <w:t>Praktische betekenis:</w:t>
      </w:r>
      <w:r>
        <w:t xml:space="preserve"> Deze zaak is een must-</w:t>
      </w:r>
      <w:proofErr w:type="spellStart"/>
      <w:r>
        <w:t>cite</w:t>
      </w:r>
      <w:proofErr w:type="spellEnd"/>
      <w:r>
        <w:t xml:space="preserve"> als partijen beweren “ik woon in X” louter op basis van verblijfsdagen; de rechtbank/hof/HR blijven kijken naar het brede plaatje.</w:t>
      </w:r>
      <w:r>
        <w:br/>
      </w:r>
      <w:r>
        <w:rPr>
          <w:rStyle w:val="Zwaar"/>
        </w:rPr>
        <w:t>Bronnen:</w:t>
      </w:r>
      <w:r>
        <w:t xml:space="preserve"> Hof Den Haag uitspraak en bevestiging HR 21-12-2018. (</w:t>
      </w:r>
      <w:hyperlink r:id="rId13" w:tooltip="ecli:nl:ghdha:2018:1780 - Uitspraken - De Rechtspraak" w:history="1">
        <w:r>
          <w:rPr>
            <w:rStyle w:val="Hyperlink"/>
            <w:rFonts w:eastAsiaTheme="majorEastAsia"/>
          </w:rPr>
          <w:t>uitspraken.rechtspraak.nl</w:t>
        </w:r>
      </w:hyperlink>
      <w:r>
        <w:t>)</w:t>
      </w:r>
    </w:p>
    <w:p w:rsidR="00F244B6" w:rsidRDefault="00221A90" w:rsidP="00F244B6">
      <w:r w:rsidRPr="00221A90">
        <w:rPr>
          <w:noProof/>
          <w14:ligatures w14:val="standardContextual"/>
        </w:rPr>
        <w:pict>
          <v:rect id="_x0000_i1028" alt="" style="width:453.15pt;height:.05pt;mso-width-percent:0;mso-height-percent:0;mso-width-percent:0;mso-height-percent:0" o:hrpct="999" o:hralign="center" o:hrstd="t" o:hr="t" fillcolor="#a0a0a0" stroked="f"/>
        </w:pict>
      </w:r>
    </w:p>
    <w:p w:rsidR="00F244B6" w:rsidRPr="00F244B6" w:rsidRDefault="00F244B6" w:rsidP="00F244B6">
      <w:pPr>
        <w:pStyle w:val="Kop1"/>
        <w:rPr>
          <w:lang w:val="nl-NL"/>
        </w:rPr>
      </w:pPr>
      <w:r w:rsidRPr="00F244B6">
        <w:rPr>
          <w:lang w:val="nl-NL"/>
        </w:rPr>
        <w:t xml:space="preserve">5) </w:t>
      </w:r>
      <w:r w:rsidRPr="00F244B6">
        <w:rPr>
          <w:rStyle w:val="Zwaar"/>
          <w:b w:val="0"/>
          <w:bCs w:val="0"/>
          <w:lang w:val="nl-NL"/>
        </w:rPr>
        <w:t>HR 17 april 2020, nr. 19/02021 (ECLI:NL:HR:2020:698)</w:t>
      </w:r>
      <w:r w:rsidRPr="00F244B6">
        <w:rPr>
          <w:lang w:val="nl-NL"/>
        </w:rPr>
        <w:t xml:space="preserve"> — (procedurele context en bevestiging omstandigheden-toets)</w:t>
      </w:r>
    </w:p>
    <w:p w:rsidR="00F244B6" w:rsidRDefault="00F244B6" w:rsidP="00F244B6">
      <w:pPr>
        <w:pStyle w:val="Normaalweb"/>
      </w:pPr>
      <w:r>
        <w:rPr>
          <w:rStyle w:val="Zwaar"/>
        </w:rPr>
        <w:t>Feiten:</w:t>
      </w:r>
      <w:r>
        <w:t xml:space="preserve"> procedure over informatiebeschikking en aangrenzende vragen; speelde mede de vraag over de reikwijdte van bevoegdheden en toetsing wanneer woonplaatsvraag relevant is.</w:t>
      </w:r>
      <w:r>
        <w:br/>
      </w:r>
      <w:r>
        <w:rPr>
          <w:rStyle w:val="Zwaar"/>
        </w:rPr>
        <w:t>Vraag:</w:t>
      </w:r>
      <w:r>
        <w:t xml:space="preserve"> In hoeverre moeten bestuursorganen terughoudend zijn met het uitoefenen van bevoegdheden en hoe verhoudt dat zich tot de materiële toets op woonplaats?</w:t>
      </w:r>
      <w:r>
        <w:br/>
      </w:r>
      <w:r>
        <w:rPr>
          <w:rStyle w:val="Zwaar"/>
        </w:rPr>
        <w:t>Kernoverwegingen:</w:t>
      </w:r>
      <w:r>
        <w:t xml:space="preserve"> HR benadrukt dat beslissingen van de inspecteur getoetst moeten worden aan de AWR en aan algemene beginselen van behoorlijk bestuur (zoals proportionaliteit en subsidiariteit). Waar de woonplaats relevant is, blijft de omstandigheden-toets van art. 4 lid 1 AWR sturend: de beoordeling blijft feitelijk en integraal, en procedurele rechten (informatie/hoor) zijn essentieel.</w:t>
      </w:r>
      <w:r>
        <w:br/>
      </w:r>
      <w:r>
        <w:rPr>
          <w:rStyle w:val="Zwaar"/>
        </w:rPr>
        <w:lastRenderedPageBreak/>
        <w:t>Oordeel:</w:t>
      </w:r>
      <w:r>
        <w:t xml:space="preserve"> De toets op woonplaats blijft inhoudelijk een omstandigheden-toets en procedurele waarborgen moeten in acht genomen worden bij gebruik van bevoegdheden zoals informatievorderingen.</w:t>
      </w:r>
      <w:r>
        <w:br/>
      </w:r>
      <w:r>
        <w:rPr>
          <w:rStyle w:val="Zwaar"/>
        </w:rPr>
        <w:t>Praktische betekenis:</w:t>
      </w:r>
      <w:r>
        <w:t xml:space="preserve"> Gebruik dit arrest in memo’s om aan te geven dat zowel de materiële toets als procedurele checks (bewijslast, </w:t>
      </w:r>
      <w:proofErr w:type="spellStart"/>
      <w:r>
        <w:t>hoorrecht</w:t>
      </w:r>
      <w:proofErr w:type="spellEnd"/>
      <w:r>
        <w:t>) doorslaggevend zijn in woonplaatsonderzoeken.</w:t>
      </w:r>
      <w:r>
        <w:br/>
      </w:r>
      <w:r>
        <w:rPr>
          <w:rStyle w:val="Zwaar"/>
        </w:rPr>
        <w:t>Bron:</w:t>
      </w:r>
      <w:r>
        <w:t xml:space="preserve"> HR 17-04-2020 (rechtspraak.nl vermelding). (</w:t>
      </w:r>
      <w:hyperlink r:id="rId14" w:tooltip="ECLI:NL:HR:2020:698, Hoge Raad, 19/02347 - Uitspraken" w:history="1">
        <w:r>
          <w:rPr>
            <w:rStyle w:val="Hyperlink"/>
            <w:rFonts w:eastAsiaTheme="majorEastAsia"/>
          </w:rPr>
          <w:t>uitspraken.rechtspraak.nl</w:t>
        </w:r>
      </w:hyperlink>
      <w:r>
        <w:t>)</w:t>
      </w:r>
    </w:p>
    <w:p w:rsidR="00F244B6" w:rsidRDefault="00221A90" w:rsidP="00F244B6">
      <w:r w:rsidRPr="00221A90">
        <w:rPr>
          <w:noProof/>
          <w14:ligatures w14:val="standardContextual"/>
        </w:rPr>
        <w:pict>
          <v:rect id="_x0000_i1027" alt="" style="width:453.15pt;height:.05pt;mso-width-percent:0;mso-height-percent:0;mso-width-percent:0;mso-height-percent:0" o:hrpct="999" o:hralign="center" o:hrstd="t" o:hr="t" fillcolor="#a0a0a0" stroked="f"/>
        </w:pict>
      </w:r>
    </w:p>
    <w:p w:rsidR="00F244B6" w:rsidRPr="00F244B6" w:rsidRDefault="00F244B6" w:rsidP="00F244B6">
      <w:pPr>
        <w:pStyle w:val="Kop1"/>
        <w:rPr>
          <w:lang w:val="nl-NL"/>
        </w:rPr>
      </w:pPr>
      <w:r w:rsidRPr="00F244B6">
        <w:rPr>
          <w:lang w:val="nl-NL"/>
        </w:rPr>
        <w:t xml:space="preserve">6) </w:t>
      </w:r>
      <w:r w:rsidRPr="00F244B6">
        <w:rPr>
          <w:rStyle w:val="Zwaar"/>
          <w:b w:val="0"/>
          <w:bCs w:val="0"/>
          <w:lang w:val="nl-NL"/>
        </w:rPr>
        <w:t>Recente lagere rechtspraak en ontwikkelingen (selectie)</w:t>
      </w:r>
    </w:p>
    <w:p w:rsidR="00F244B6" w:rsidRDefault="00F244B6" w:rsidP="00F244B6">
      <w:pPr>
        <w:pStyle w:val="Normaalweb"/>
        <w:numPr>
          <w:ilvl w:val="0"/>
          <w:numId w:val="7"/>
        </w:numPr>
      </w:pPr>
      <w:r>
        <w:t>Diverse rechtbanken en hoven (o.a. RBZWB 2022/2023, GHSHE 2024/2025) blijven de lijn van de HR volgen en passen de totaaltoets toe; uitspraken laten zien dat uitkomst erg feitelijk kan verschillen per dossier (soms woonplaats NL, soms woonplaats buiten NL) — altijd afhankelijk van de concrete feiten (woning beschikbaar, inschrijving, gezin, werk, banken, verzekeringen). (</w:t>
      </w:r>
      <w:hyperlink r:id="rId15" w:tooltip="ECLI:NL:RBZWB:2022:5286, Rechtbank Zeeland ... - Uitspraken" w:history="1">
        <w:r>
          <w:rPr>
            <w:rStyle w:val="Hyperlink"/>
            <w:rFonts w:eastAsiaTheme="majorEastAsia"/>
          </w:rPr>
          <w:t>uitspraken.rechtspraak.nl</w:t>
        </w:r>
      </w:hyperlink>
      <w:r>
        <w:t>)</w:t>
      </w:r>
    </w:p>
    <w:p w:rsidR="00F244B6" w:rsidRDefault="00221A90" w:rsidP="00F244B6">
      <w:r w:rsidRPr="00221A90">
        <w:rPr>
          <w:noProof/>
          <w14:ligatures w14:val="standardContextual"/>
        </w:rPr>
        <w:pict>
          <v:rect id="_x0000_i1026" alt="" style="width:453.15pt;height:.05pt;mso-width-percent:0;mso-height-percent:0;mso-width-percent:0;mso-height-percent:0" o:hrpct="999" o:hralign="center" o:hrstd="t" o:hr="t" fillcolor="#a0a0a0" stroked="f"/>
        </w:pict>
      </w:r>
    </w:p>
    <w:p w:rsidR="00F244B6" w:rsidRDefault="00221A90" w:rsidP="00F244B6">
      <w:r w:rsidRPr="00221A90">
        <w:rPr>
          <w:noProof/>
          <w14:ligatures w14:val="standardContextual"/>
        </w:rPr>
        <w:pict>
          <v:rect id="_x0000_i1025" alt="" style="width:453.15pt;height:.05pt;mso-width-percent:0;mso-height-percent:0;mso-width-percent:0;mso-height-percent:0" o:hrpct="999" o:hralign="center" o:hrstd="t" o:hr="t" fillcolor="#a0a0a0" stroked="f"/>
        </w:pict>
      </w:r>
    </w:p>
    <w:p w:rsidR="00F244B6" w:rsidRPr="006853F7" w:rsidRDefault="00F244B6">
      <w:pPr>
        <w:rPr>
          <w:lang w:val="nl-NL"/>
        </w:rPr>
      </w:pPr>
    </w:p>
    <w:sectPr w:rsidR="00F244B6" w:rsidRPr="006853F7"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707C7"/>
    <w:multiLevelType w:val="multilevel"/>
    <w:tmpl w:val="0DF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61B5A"/>
    <w:multiLevelType w:val="multilevel"/>
    <w:tmpl w:val="EED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4255D"/>
    <w:multiLevelType w:val="multilevel"/>
    <w:tmpl w:val="39CA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00FFC"/>
    <w:multiLevelType w:val="multilevel"/>
    <w:tmpl w:val="F88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390374"/>
    <w:multiLevelType w:val="multilevel"/>
    <w:tmpl w:val="38DA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57FA3"/>
    <w:multiLevelType w:val="multilevel"/>
    <w:tmpl w:val="C24A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8C15B0"/>
    <w:multiLevelType w:val="multilevel"/>
    <w:tmpl w:val="713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1632E"/>
    <w:multiLevelType w:val="multilevel"/>
    <w:tmpl w:val="3D3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81067">
    <w:abstractNumId w:val="0"/>
  </w:num>
  <w:num w:numId="2" w16cid:durableId="1182210325">
    <w:abstractNumId w:val="4"/>
  </w:num>
  <w:num w:numId="3" w16cid:durableId="1093741910">
    <w:abstractNumId w:val="7"/>
  </w:num>
  <w:num w:numId="4" w16cid:durableId="1210341657">
    <w:abstractNumId w:val="6"/>
  </w:num>
  <w:num w:numId="5" w16cid:durableId="1336809121">
    <w:abstractNumId w:val="1"/>
  </w:num>
  <w:num w:numId="6" w16cid:durableId="1100683906">
    <w:abstractNumId w:val="3"/>
  </w:num>
  <w:num w:numId="7" w16cid:durableId="1150365224">
    <w:abstractNumId w:val="2"/>
  </w:num>
  <w:num w:numId="8" w16cid:durableId="5870843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F7"/>
    <w:rsid w:val="00017EE2"/>
    <w:rsid w:val="00094D1F"/>
    <w:rsid w:val="001C5DB1"/>
    <w:rsid w:val="00221A90"/>
    <w:rsid w:val="006853F7"/>
    <w:rsid w:val="00F244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79C8955"/>
  <w15:chartTrackingRefBased/>
  <w15:docId w15:val="{BC2323BE-8ACC-2141-BEF9-DDDBCB30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853F7"/>
    <w:pPr>
      <w:spacing w:line="276" w:lineRule="auto"/>
    </w:pPr>
    <w:rPr>
      <w:rFonts w:ascii="Arial" w:eastAsia="Arial" w:hAnsi="Arial" w:cs="Arial"/>
      <w:kern w:val="0"/>
      <w:sz w:val="22"/>
      <w:szCs w:val="22"/>
      <w:lang w:val="en" w:eastAsia="nl-NL"/>
      <w14:ligatures w14:val="none"/>
    </w:rPr>
  </w:style>
  <w:style w:type="paragraph" w:styleId="Kop1">
    <w:name w:val="heading 1"/>
    <w:basedOn w:val="Standaard"/>
    <w:next w:val="Standaard"/>
    <w:link w:val="Kop1Char"/>
    <w:uiPriority w:val="9"/>
    <w:qFormat/>
    <w:rsid w:val="00F244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link w:val="Kop2Char"/>
    <w:uiPriority w:val="9"/>
    <w:qFormat/>
    <w:rsid w:val="006853F7"/>
    <w:pPr>
      <w:spacing w:before="100" w:beforeAutospacing="1" w:after="100" w:afterAutospacing="1" w:line="240" w:lineRule="auto"/>
      <w:outlineLvl w:val="1"/>
    </w:pPr>
    <w:rPr>
      <w:rFonts w:ascii="Times New Roman" w:eastAsia="Times New Roman" w:hAnsi="Times New Roman" w:cs="Times New Roman"/>
      <w:b/>
      <w:bCs/>
      <w:sz w:val="36"/>
      <w:szCs w:val="36"/>
      <w:lang w:val="nl-NL"/>
    </w:rPr>
  </w:style>
  <w:style w:type="paragraph" w:styleId="Kop3">
    <w:name w:val="heading 3"/>
    <w:basedOn w:val="Standaard"/>
    <w:link w:val="Kop3Char"/>
    <w:uiPriority w:val="9"/>
    <w:qFormat/>
    <w:rsid w:val="006853F7"/>
    <w:pPr>
      <w:spacing w:before="100" w:beforeAutospacing="1" w:after="100" w:afterAutospacing="1" w:line="240" w:lineRule="auto"/>
      <w:outlineLvl w:val="2"/>
    </w:pPr>
    <w:rPr>
      <w:rFonts w:ascii="Times New Roman" w:eastAsia="Times New Roman" w:hAnsi="Times New Roman" w:cs="Times New Roman"/>
      <w:b/>
      <w:bCs/>
      <w:sz w:val="27"/>
      <w:szCs w:val="27"/>
      <w:lang w:val="nl-NL"/>
    </w:rPr>
  </w:style>
  <w:style w:type="paragraph" w:styleId="Kop4">
    <w:name w:val="heading 4"/>
    <w:basedOn w:val="Standaard"/>
    <w:next w:val="Standaard"/>
    <w:link w:val="Kop4Char"/>
    <w:uiPriority w:val="9"/>
    <w:semiHidden/>
    <w:unhideWhenUsed/>
    <w:qFormat/>
    <w:rsid w:val="006853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6853F7"/>
    <w:rPr>
      <w:rFonts w:ascii="Times New Roman" w:eastAsia="Times New Roman" w:hAnsi="Times New Roman" w:cs="Times New Roman"/>
      <w:b/>
      <w:bCs/>
      <w:kern w:val="0"/>
      <w:sz w:val="36"/>
      <w:szCs w:val="36"/>
      <w:lang w:eastAsia="nl-NL"/>
      <w14:ligatures w14:val="none"/>
    </w:rPr>
  </w:style>
  <w:style w:type="character" w:customStyle="1" w:styleId="Kop3Char">
    <w:name w:val="Kop 3 Char"/>
    <w:basedOn w:val="Standaardalinea-lettertype"/>
    <w:link w:val="Kop3"/>
    <w:uiPriority w:val="9"/>
    <w:rsid w:val="006853F7"/>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6853F7"/>
    <w:pPr>
      <w:spacing w:before="100" w:beforeAutospacing="1" w:after="100" w:afterAutospacing="1" w:line="240" w:lineRule="auto"/>
    </w:pPr>
    <w:rPr>
      <w:rFonts w:ascii="Times New Roman" w:eastAsia="Times New Roman" w:hAnsi="Times New Roman" w:cs="Times New Roman"/>
      <w:sz w:val="24"/>
      <w:szCs w:val="24"/>
      <w:lang w:val="nl-NL"/>
    </w:rPr>
  </w:style>
  <w:style w:type="character" w:styleId="Zwaar">
    <w:name w:val="Strong"/>
    <w:basedOn w:val="Standaardalinea-lettertype"/>
    <w:uiPriority w:val="22"/>
    <w:qFormat/>
    <w:rsid w:val="006853F7"/>
    <w:rPr>
      <w:b/>
      <w:bCs/>
    </w:rPr>
  </w:style>
  <w:style w:type="character" w:styleId="Hyperlink">
    <w:name w:val="Hyperlink"/>
    <w:basedOn w:val="Standaardalinea-lettertype"/>
    <w:uiPriority w:val="99"/>
    <w:semiHidden/>
    <w:unhideWhenUsed/>
    <w:rsid w:val="006853F7"/>
    <w:rPr>
      <w:color w:val="0000FF"/>
      <w:u w:val="single"/>
    </w:rPr>
  </w:style>
  <w:style w:type="character" w:customStyle="1" w:styleId="Kop4Char">
    <w:name w:val="Kop 4 Char"/>
    <w:basedOn w:val="Standaardalinea-lettertype"/>
    <w:link w:val="Kop4"/>
    <w:uiPriority w:val="9"/>
    <w:semiHidden/>
    <w:rsid w:val="006853F7"/>
    <w:rPr>
      <w:rFonts w:asciiTheme="majorHAnsi" w:eastAsiaTheme="majorEastAsia" w:hAnsiTheme="majorHAnsi" w:cstheme="majorBidi"/>
      <w:i/>
      <w:iCs/>
      <w:color w:val="2F5496" w:themeColor="accent1" w:themeShade="BF"/>
      <w:kern w:val="0"/>
      <w:sz w:val="22"/>
      <w:szCs w:val="22"/>
      <w:lang w:val="en" w:eastAsia="nl-NL"/>
      <w14:ligatures w14:val="none"/>
    </w:rPr>
  </w:style>
  <w:style w:type="character" w:styleId="Nadruk">
    <w:name w:val="Emphasis"/>
    <w:basedOn w:val="Standaardalinea-lettertype"/>
    <w:uiPriority w:val="20"/>
    <w:qFormat/>
    <w:rsid w:val="006853F7"/>
    <w:rPr>
      <w:i/>
      <w:iCs/>
    </w:rPr>
  </w:style>
  <w:style w:type="character" w:customStyle="1" w:styleId="Kop1Char">
    <w:name w:val="Kop 1 Char"/>
    <w:basedOn w:val="Standaardalinea-lettertype"/>
    <w:link w:val="Kop1"/>
    <w:uiPriority w:val="9"/>
    <w:rsid w:val="00F244B6"/>
    <w:rPr>
      <w:rFonts w:asciiTheme="majorHAnsi" w:eastAsiaTheme="majorEastAsia" w:hAnsiTheme="majorHAnsi" w:cstheme="majorBidi"/>
      <w:color w:val="2F5496" w:themeColor="accent1" w:themeShade="BF"/>
      <w:kern w:val="0"/>
      <w:sz w:val="32"/>
      <w:szCs w:val="32"/>
      <w:lang w:val="en" w:eastAsia="nl-NL"/>
      <w14:ligatures w14:val="none"/>
    </w:rPr>
  </w:style>
  <w:style w:type="character" w:styleId="HTMLCode">
    <w:name w:val="HTML Code"/>
    <w:basedOn w:val="Standaardalinea-lettertype"/>
    <w:uiPriority w:val="99"/>
    <w:semiHidden/>
    <w:unhideWhenUsed/>
    <w:rsid w:val="00F244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115751">
      <w:bodyDiv w:val="1"/>
      <w:marLeft w:val="0"/>
      <w:marRight w:val="0"/>
      <w:marTop w:val="0"/>
      <w:marBottom w:val="0"/>
      <w:divBdr>
        <w:top w:val="none" w:sz="0" w:space="0" w:color="auto"/>
        <w:left w:val="none" w:sz="0" w:space="0" w:color="auto"/>
        <w:bottom w:val="none" w:sz="0" w:space="0" w:color="auto"/>
        <w:right w:val="none" w:sz="0" w:space="0" w:color="auto"/>
      </w:divBdr>
      <w:divsChild>
        <w:div w:id="14740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7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938044">
      <w:bodyDiv w:val="1"/>
      <w:marLeft w:val="0"/>
      <w:marRight w:val="0"/>
      <w:marTop w:val="0"/>
      <w:marBottom w:val="0"/>
      <w:divBdr>
        <w:top w:val="none" w:sz="0" w:space="0" w:color="auto"/>
        <w:left w:val="none" w:sz="0" w:space="0" w:color="auto"/>
        <w:bottom w:val="none" w:sz="0" w:space="0" w:color="auto"/>
        <w:right w:val="none" w:sz="0" w:space="0" w:color="auto"/>
      </w:divBdr>
      <w:divsChild>
        <w:div w:id="146870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38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alweb.nl/jurisprudentie/eclinlrbnho20169047/?utm_source=chatgpt.com" TargetMode="External"/><Relationship Id="rId13" Type="http://schemas.openxmlformats.org/officeDocument/2006/relationships/hyperlink" Target="https://uitspraken.rechtspraak.nl/details?id=ECLI%3ANL%3AGHDHA%3A2018%3A1780&amp;utm_source=chatgpt.com" TargetMode="External"/><Relationship Id="rId3" Type="http://schemas.openxmlformats.org/officeDocument/2006/relationships/settings" Target="settings.xml"/><Relationship Id="rId7" Type="http://schemas.openxmlformats.org/officeDocument/2006/relationships/hyperlink" Target="https://semantius.nl/uitspraken/ECLI%3ANL%3AHR%3A2007%3ABA9393?utm_source=chatgpt.com" TargetMode="External"/><Relationship Id="rId12" Type="http://schemas.openxmlformats.org/officeDocument/2006/relationships/hyperlink" Target="https://semantius.nl/uitspraken/ECLI%3ANL%3AHR%3A2013%3ABZ6824?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stateplanningexpert.nl/lay/media/Artikelen/f0e742e18a.pdf?utm_source=chatgpt.com" TargetMode="External"/><Relationship Id="rId11" Type="http://schemas.openxmlformats.org/officeDocument/2006/relationships/hyperlink" Target="https://uitspraken.rechtspraak.nl/details?id=ECLI%3ANL%3AHR%3A2011%3ABP6285&amp;utm_source=chatgpt.com" TargetMode="External"/><Relationship Id="rId5" Type="http://schemas.openxmlformats.org/officeDocument/2006/relationships/hyperlink" Target="https://www.studeersnel.nl/nl/document/maastricht-university/nederlands-internationaal-belastingrecht/samenvatting-nederlands-internationaal-belastingrecht-tax3008/20393759?utm_source=chatgpt.com" TargetMode="External"/><Relationship Id="rId15" Type="http://schemas.openxmlformats.org/officeDocument/2006/relationships/hyperlink" Target="https://uitspraken.rechtspraak.nl/details?id=ECLI%3ANL%3ARBZWB%3A2022%3A5286&amp;utm_source=chatgpt.com" TargetMode="External"/><Relationship Id="rId10" Type="http://schemas.openxmlformats.org/officeDocument/2006/relationships/hyperlink" Target="https://arno.uvt.nl/show.cgi?fid=159336&amp;utm_source=chatgpt.com" TargetMode="External"/><Relationship Id="rId4" Type="http://schemas.openxmlformats.org/officeDocument/2006/relationships/webSettings" Target="webSettings.xml"/><Relationship Id="rId9" Type="http://schemas.openxmlformats.org/officeDocument/2006/relationships/hyperlink" Target="https://www.estateplanningexpert.nl/lay/media/Artikelen/f0e742e18a.pdf?utm_source=chatgpt.com" TargetMode="External"/><Relationship Id="rId14" Type="http://schemas.openxmlformats.org/officeDocument/2006/relationships/hyperlink" Target="https://uitspraken.rechtspraak.nl/details?id=ECLI%3ANL%3AHR%3A2020%3A698&amp;utm_source=chatgpt.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3598</Words>
  <Characters>19795</Characters>
  <Application>Microsoft Office Word</Application>
  <DocSecurity>0</DocSecurity>
  <Lines>164</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2025-10-27T12:55:00Z</dcterms:created>
  <dcterms:modified xsi:type="dcterms:W3CDTF">2025-10-27T13:11:00Z</dcterms:modified>
</cp:coreProperties>
</file>