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DF14" w14:textId="77777777" w:rsidR="003774C2" w:rsidRDefault="00000000">
      <w:pPr>
        <w:jc w:val="center"/>
      </w:pPr>
      <w:r>
        <w:rPr>
          <w:b/>
          <w:color w:val="0F306E"/>
          <w:sz w:val="44"/>
        </w:rPr>
        <w:t>U.S. POPULATION MIGRATION RISK INTELLIGENCE PLATFORM</w:t>
      </w:r>
      <w:r>
        <w:rPr>
          <w:b/>
          <w:color w:val="0F306E"/>
          <w:sz w:val="44"/>
        </w:rPr>
        <w:br/>
      </w:r>
      <w:r>
        <w:rPr>
          <w:i/>
          <w:color w:val="2B4C7E"/>
          <w:sz w:val="26"/>
        </w:rPr>
        <w:t>A Predictive Machine Learning and Macro-Demographic Analytics Framework for State-Level Population Flight Assessment</w:t>
      </w:r>
      <w:r>
        <w:rPr>
          <w:i/>
          <w:color w:val="2B4C7E"/>
          <w:sz w:val="26"/>
        </w:rPr>
        <w:br/>
      </w:r>
    </w:p>
    <w:p w14:paraId="590BC480" w14:textId="77777777" w:rsidR="003774C2" w:rsidRDefault="003774C2"/>
    <w:p w14:paraId="337E5238" w14:textId="77777777" w:rsidR="003774C2" w:rsidRDefault="003774C2"/>
    <w:p w14:paraId="10250184" w14:textId="77777777" w:rsidR="003774C2" w:rsidRDefault="00000000">
      <w:pPr>
        <w:jc w:val="center"/>
      </w:pPr>
      <w:r>
        <w:t>A Major Project-I Report Submitted in Partial Fulfillment of the Requirements</w:t>
      </w:r>
      <w:r>
        <w:br/>
        <w:t>for the Completion of the</w:t>
      </w:r>
      <w:r>
        <w:br/>
      </w:r>
      <w:r>
        <w:rPr>
          <w:b/>
          <w:color w:val="0F306E"/>
          <w:sz w:val="28"/>
        </w:rPr>
        <w:t>IBM SkillsBuild Data Analytics with AI Academic Internship Program 2026</w:t>
      </w:r>
      <w:r>
        <w:rPr>
          <w:b/>
          <w:color w:val="0F306E"/>
          <w:sz w:val="28"/>
        </w:rPr>
        <w:br/>
      </w:r>
      <w:r>
        <w:t>Conducted by BharatCares in association with</w:t>
      </w:r>
      <w:r>
        <w:br/>
        <w:t>All India Council for Technical Education (AICTE)</w:t>
      </w:r>
      <w:r>
        <w:br/>
      </w:r>
    </w:p>
    <w:p w14:paraId="76B7F041" w14:textId="77777777" w:rsidR="003774C2" w:rsidRDefault="003774C2"/>
    <w:p w14:paraId="0988DC83" w14:textId="77777777" w:rsidR="003774C2" w:rsidRDefault="003774C2"/>
    <w:p w14:paraId="62803A78" w14:textId="77777777" w:rsidR="003774C2" w:rsidRDefault="003774C2"/>
    <w:p w14:paraId="6C50063A" w14:textId="77777777" w:rsidR="003774C2" w:rsidRDefault="00000000">
      <w:pPr>
        <w:jc w:val="center"/>
      </w:pPr>
      <w:r>
        <w:t>Submitted By:</w:t>
      </w:r>
      <w:r>
        <w:br/>
      </w:r>
      <w:r>
        <w:rPr>
          <w:b/>
          <w:color w:val="0F306E"/>
          <w:sz w:val="30"/>
        </w:rPr>
        <w:t>LAXMINARAYAN SAHU</w:t>
      </w:r>
      <w:r>
        <w:rPr>
          <w:b/>
          <w:color w:val="0F306E"/>
          <w:sz w:val="30"/>
        </w:rPr>
        <w:br/>
      </w:r>
      <w:r>
        <w:rPr>
          <w:sz w:val="22"/>
        </w:rPr>
        <w:t>Lead Data Analyst &amp; Machine Learning Intern</w:t>
      </w:r>
      <w:r>
        <w:rPr>
          <w:sz w:val="22"/>
        </w:rPr>
        <w:br/>
        <w:t>Internship Track: Applied AI &amp; Demographic Analytics</w:t>
      </w:r>
      <w:r>
        <w:rPr>
          <w:sz w:val="22"/>
        </w:rPr>
        <w:br/>
      </w:r>
      <w:r>
        <w:t>September 2026</w:t>
      </w:r>
    </w:p>
    <w:p w14:paraId="550BC9D8" w14:textId="77777777" w:rsidR="003774C2" w:rsidRDefault="00000000">
      <w:r>
        <w:br w:type="page"/>
      </w:r>
    </w:p>
    <w:p w14:paraId="404B372A" w14:textId="77777777" w:rsidR="003774C2" w:rsidRDefault="00000000">
      <w:pPr>
        <w:spacing w:before="480" w:after="360"/>
        <w:jc w:val="center"/>
      </w:pPr>
      <w:r>
        <w:rPr>
          <w:b/>
          <w:color w:val="0F306E"/>
          <w:sz w:val="32"/>
        </w:rPr>
        <w:lastRenderedPageBreak/>
        <w:t>DECLARATION</w:t>
      </w:r>
    </w:p>
    <w:p w14:paraId="20901BFA" w14:textId="77777777" w:rsidR="003774C2" w:rsidRDefault="00000000">
      <w:pPr>
        <w:jc w:val="both"/>
      </w:pPr>
      <w:r>
        <w:rPr>
          <w:color w:val="1F242E"/>
        </w:rPr>
        <w:t>I hereby declare that this Major Project-I report entitled "U.S. Population Migration Risk Intelligence Platform: A Predictive Machine Learning and Macro-Demographic Analytics Framework for State-Level Population Flight Assessment" is an authentic record of independent academic research work carried out by me under the IBM SkillsBuild Data Analytics with AI Academic Internship Program, conducted by BharatCares in association with the All India Council for Technical Education (AICTE).</w:t>
      </w:r>
    </w:p>
    <w:p w14:paraId="538E17DE" w14:textId="77777777" w:rsidR="003774C2" w:rsidRDefault="00000000">
      <w:pPr>
        <w:jc w:val="both"/>
      </w:pPr>
      <w:r>
        <w:rPr>
          <w:color w:val="1F242E"/>
        </w:rPr>
        <w:t>I further confirm that the empirical analysis, data processing pipelines, mathematical models, and software code presented in this report are original and have been constructed strictly utilizing publicly accessible, authoritative federal data sources, namely the United States Census Bureau American Community Survey (ACS) and the IPUMS Current Population Survey (CPS) microdata repository.</w:t>
      </w:r>
    </w:p>
    <w:p w14:paraId="0D367585" w14:textId="77777777" w:rsidR="003774C2" w:rsidRDefault="00000000">
      <w:pPr>
        <w:jc w:val="both"/>
      </w:pPr>
      <w:r>
        <w:rPr>
          <w:color w:val="1F242E"/>
        </w:rPr>
        <w:t>This report has not been submitted in part or in full to any other university, institute, or organization for the award of any degree, diploma, fellowship, or commercial certification.</w:t>
      </w:r>
    </w:p>
    <w:p w14:paraId="7D4728EF" w14:textId="77777777" w:rsidR="003774C2" w:rsidRDefault="003774C2"/>
    <w:p w14:paraId="2DFA4CD1" w14:textId="77777777" w:rsidR="003774C2" w:rsidRDefault="003774C2"/>
    <w:p w14:paraId="7661A84B" w14:textId="77777777" w:rsidR="003774C2" w:rsidRDefault="003774C2"/>
    <w:p w14:paraId="1B823232" w14:textId="77777777" w:rsidR="003774C2" w:rsidRDefault="003774C2"/>
    <w:p w14:paraId="6CCC5FD5" w14:textId="77777777" w:rsidR="003774C2" w:rsidRDefault="00000000">
      <w:pPr>
        <w:jc w:val="right"/>
      </w:pPr>
      <w:r>
        <w:t>_____________________________________</w:t>
      </w:r>
      <w:r>
        <w:br/>
        <w:t>Laxminarayan Sahu</w:t>
      </w:r>
      <w:r>
        <w:br/>
        <w:t>Lead Intern &amp; Data Analyst</w:t>
      </w:r>
      <w:r>
        <w:br/>
        <w:t>Date: September 2026</w:t>
      </w:r>
    </w:p>
    <w:p w14:paraId="77856D01" w14:textId="77777777" w:rsidR="003774C2" w:rsidRDefault="00000000">
      <w:r>
        <w:br w:type="page"/>
      </w:r>
    </w:p>
    <w:p w14:paraId="54B3BEAA" w14:textId="77777777" w:rsidR="003774C2" w:rsidRDefault="00000000">
      <w:pPr>
        <w:spacing w:before="480" w:after="360"/>
        <w:jc w:val="center"/>
      </w:pPr>
      <w:r>
        <w:rPr>
          <w:b/>
          <w:color w:val="0F306E"/>
          <w:sz w:val="32"/>
        </w:rPr>
        <w:lastRenderedPageBreak/>
        <w:t>CERTIFICATE</w:t>
      </w:r>
    </w:p>
    <w:p w14:paraId="0EA670FA" w14:textId="77777777" w:rsidR="003774C2" w:rsidRDefault="00000000">
      <w:pPr>
        <w:jc w:val="both"/>
      </w:pPr>
      <w:r>
        <w:rPr>
          <w:color w:val="1F242E"/>
        </w:rPr>
        <w:t>This is to certify that the Major Project-I report entitled "U.S. Population Migration Risk Intelligence Platform" submitted by Laxminarayan Sahu is a bonafide record of high-quality research and engineering work carried out in partial fulfillment of the requirements for the IBM SkillsBuild Data Analytics with AI Academic Internship Program 2026, conducted by BharatCares in association with AICTE.</w:t>
      </w:r>
    </w:p>
    <w:p w14:paraId="2248EBE8" w14:textId="77777777" w:rsidR="003774C2" w:rsidRDefault="00000000">
      <w:pPr>
        <w:jc w:val="both"/>
      </w:pPr>
      <w:r>
        <w:rPr>
          <w:color w:val="1F242E"/>
        </w:rPr>
        <w:t>The project has been reviewed for technical depth, methodological rigor, algorithmic validity, and ethical data governance. The candidate has successfully achieved all project milestones, including multi-decade federal data aggregation, novel feature engineering (Migration Pressure Index), predictive statistical modeling with regularized logistic regression, and the production of an interactive administrative intelligence dashboard.</w:t>
      </w:r>
    </w:p>
    <w:p w14:paraId="628EE8E3" w14:textId="77777777" w:rsidR="003774C2" w:rsidRDefault="003774C2"/>
    <w:p w14:paraId="1F8942DB" w14:textId="77777777" w:rsidR="003774C2" w:rsidRDefault="003774C2"/>
    <w:p w14:paraId="6FD67EBB" w14:textId="77777777" w:rsidR="003774C2" w:rsidRDefault="003774C2"/>
    <w:p w14:paraId="12C8CE76" w14:textId="77777777" w:rsidR="003774C2" w:rsidRDefault="003774C2"/>
    <w:p w14:paraId="3CA54887" w14:textId="77777777" w:rsidR="003774C2" w:rsidRDefault="003774C2"/>
    <w:tbl>
      <w:tblPr>
        <w:tblW w:w="0" w:type="auto"/>
        <w:jc w:val="center"/>
        <w:tblLook w:val="04A0" w:firstRow="1" w:lastRow="0" w:firstColumn="1" w:lastColumn="0" w:noHBand="0" w:noVBand="1"/>
      </w:tblPr>
      <w:tblGrid>
        <w:gridCol w:w="4608"/>
        <w:gridCol w:w="4608"/>
      </w:tblGrid>
      <w:tr w:rsidR="003774C2" w14:paraId="7257C11D" w14:textId="77777777">
        <w:trPr>
          <w:jc w:val="center"/>
        </w:trPr>
        <w:tc>
          <w:tcPr>
            <w:tcW w:w="4608" w:type="dxa"/>
          </w:tcPr>
          <w:p w14:paraId="2BDC3DB5" w14:textId="77777777" w:rsidR="003774C2" w:rsidRDefault="00000000">
            <w:r>
              <w:rPr>
                <w:sz w:val="22"/>
              </w:rPr>
              <w:t>______________________________</w:t>
            </w:r>
            <w:r>
              <w:rPr>
                <w:sz w:val="22"/>
              </w:rPr>
              <w:br/>
              <w:t>Academic Project Guide / Mentor</w:t>
            </w:r>
            <w:r>
              <w:rPr>
                <w:sz w:val="22"/>
              </w:rPr>
              <w:br/>
              <w:t>Department of Data Science</w:t>
            </w:r>
            <w:r>
              <w:rPr>
                <w:sz w:val="22"/>
              </w:rPr>
              <w:br/>
              <w:t>Institutional Representative</w:t>
            </w:r>
          </w:p>
        </w:tc>
        <w:tc>
          <w:tcPr>
            <w:tcW w:w="4608" w:type="dxa"/>
          </w:tcPr>
          <w:p w14:paraId="3B381A5A" w14:textId="77777777" w:rsidR="003774C2" w:rsidRDefault="00000000">
            <w:pPr>
              <w:jc w:val="right"/>
            </w:pPr>
            <w:r>
              <w:rPr>
                <w:sz w:val="22"/>
              </w:rPr>
              <w:t>______________________________</w:t>
            </w:r>
            <w:r>
              <w:rPr>
                <w:sz w:val="22"/>
              </w:rPr>
              <w:br/>
              <w:t>Program Coordinator</w:t>
            </w:r>
            <w:r>
              <w:rPr>
                <w:sz w:val="22"/>
              </w:rPr>
              <w:br/>
              <w:t>BharatCares × AICTE</w:t>
            </w:r>
            <w:r>
              <w:rPr>
                <w:sz w:val="22"/>
              </w:rPr>
              <w:br/>
              <w:t>IBM SkillsBuild Internship 2026</w:t>
            </w:r>
          </w:p>
        </w:tc>
      </w:tr>
    </w:tbl>
    <w:p w14:paraId="2B986E3F" w14:textId="77777777" w:rsidR="003774C2" w:rsidRDefault="00000000">
      <w:r>
        <w:br w:type="page"/>
      </w:r>
    </w:p>
    <w:p w14:paraId="11CA3258" w14:textId="77777777" w:rsidR="003774C2" w:rsidRDefault="00000000">
      <w:pPr>
        <w:spacing w:before="480" w:after="360"/>
        <w:jc w:val="center"/>
      </w:pPr>
      <w:r>
        <w:rPr>
          <w:b/>
          <w:color w:val="0F306E"/>
          <w:sz w:val="32"/>
        </w:rPr>
        <w:lastRenderedPageBreak/>
        <w:t>ACKNOWLEDGEMENT</w:t>
      </w:r>
    </w:p>
    <w:p w14:paraId="14FA0A13" w14:textId="77777777" w:rsidR="003774C2" w:rsidRDefault="00000000">
      <w:pPr>
        <w:jc w:val="both"/>
      </w:pPr>
      <w:r>
        <w:rPr>
          <w:color w:val="1F242E"/>
        </w:rPr>
        <w:t>I express my deepest gratitude to the All India Council for Technical Education (AICTE), the IBM SkillsBuild team, and BharatCares for organizing this comprehensive Data Analytics with AI Academic Internship Program. The structured learning modules, rigorous project rubrics, and continuous mentorship provided me with the ideal intellectual platform to conceptualize, design, and execute this demographic intelligence project.</w:t>
      </w:r>
    </w:p>
    <w:p w14:paraId="576145E8" w14:textId="77777777" w:rsidR="003774C2" w:rsidRDefault="00000000">
      <w:pPr>
        <w:jc w:val="both"/>
      </w:pPr>
      <w:r>
        <w:rPr>
          <w:color w:val="1F242E"/>
        </w:rPr>
        <w:t>I am profoundly grateful to my project mentors and industry technical evaluators for their invaluable constructive feedback, methodological guidance, and domain insights throughout the lifecycle of this capstone. Their guidance on regularized generalized linear models, spatial feature formulation, and professional dashboard engineering was instrumental in shaping this research.</w:t>
      </w:r>
    </w:p>
    <w:p w14:paraId="49C3A84D" w14:textId="77777777" w:rsidR="003774C2" w:rsidRDefault="00000000">
      <w:pPr>
        <w:jc w:val="both"/>
      </w:pPr>
      <w:r>
        <w:rPr>
          <w:color w:val="1F242E"/>
        </w:rPr>
        <w:t>I also extend my sincere appreciation to the Minnesota Population Center (IPUMS) and the United States Census Bureau for maintaining open, high-fidelity public data portals that facilitate critical demographic and economic inquiries. Lastly, I thank my family, professors, and peers for their constant encouragement and support.</w:t>
      </w:r>
    </w:p>
    <w:p w14:paraId="721C75B3" w14:textId="77777777" w:rsidR="003774C2" w:rsidRDefault="003774C2"/>
    <w:p w14:paraId="48DC4B2A" w14:textId="77777777" w:rsidR="003774C2" w:rsidRDefault="003774C2"/>
    <w:p w14:paraId="463C5CE7" w14:textId="77777777" w:rsidR="003774C2" w:rsidRDefault="003774C2"/>
    <w:p w14:paraId="14C4F12C" w14:textId="77777777" w:rsidR="003774C2" w:rsidRDefault="00000000">
      <w:pPr>
        <w:jc w:val="right"/>
      </w:pPr>
      <w:r>
        <w:t>Laxminarayan Sahu</w:t>
      </w:r>
      <w:r>
        <w:br/>
        <w:t>Lead Data Analyst</w:t>
      </w:r>
      <w:r>
        <w:br/>
        <w:t>IBM SkillsBuild Internship 2026</w:t>
      </w:r>
    </w:p>
    <w:p w14:paraId="6264E3FF" w14:textId="77777777" w:rsidR="003774C2" w:rsidRDefault="00000000">
      <w:r>
        <w:br w:type="page"/>
      </w:r>
    </w:p>
    <w:p w14:paraId="538BA49F" w14:textId="77777777" w:rsidR="003774C2" w:rsidRDefault="003774C2">
      <w:pPr>
        <w:sectPr w:rsidR="003774C2" w:rsidSect="006815CA">
          <w:footerReference w:type="default" r:id="rId8"/>
          <w:pgSz w:w="12240" w:h="15840"/>
          <w:pgMar w:top="567" w:right="567" w:bottom="567" w:left="567" w:header="720" w:footer="720" w:gutter="0"/>
          <w:cols w:space="720"/>
          <w:docGrid w:linePitch="360"/>
        </w:sectPr>
      </w:pPr>
    </w:p>
    <w:p w14:paraId="2F3752B0" w14:textId="77777777" w:rsidR="003774C2" w:rsidRDefault="00000000">
      <w:pPr>
        <w:spacing w:before="360" w:after="280"/>
        <w:jc w:val="center"/>
      </w:pPr>
      <w:r>
        <w:rPr>
          <w:b/>
          <w:color w:val="0F306E"/>
          <w:sz w:val="32"/>
        </w:rPr>
        <w:lastRenderedPageBreak/>
        <w:t>ABSTRACT</w:t>
      </w:r>
    </w:p>
    <w:p w14:paraId="786BE521" w14:textId="77777777" w:rsidR="003774C2" w:rsidRDefault="00000000">
      <w:pPr>
        <w:jc w:val="both"/>
      </w:pPr>
      <w:r>
        <w:rPr>
          <w:color w:val="1F242E"/>
        </w:rPr>
        <w:t>State and municipal governing bodies across the United States face severe fiscal and operational headwinds resulting from unpredicted population outflows. The unanticipated loss of working-age residents erodes local municipal income and sales tax bases, accelerates the depreciation of civic infrastructure, and triggers regional workforce shortages. Traditionally, state budget offices and urban planners have relied on lagging retrospective census tables that document migration patterns 18 to 36 months after physical relocations have already concluded, severely curtailing opportunities for proactive policy intervention.</w:t>
      </w:r>
    </w:p>
    <w:p w14:paraId="5E420FDC" w14:textId="77777777" w:rsidR="003774C2" w:rsidRDefault="00000000">
      <w:pPr>
        <w:jc w:val="both"/>
      </w:pPr>
      <w:r>
        <w:rPr>
          <w:color w:val="1F242E"/>
        </w:rPr>
        <w:t>This project introduces the U.S. Population Migration Risk Intelligence Platform, a dual-scale predictive analytics system that unifies ten consecutive years (2010–2019) of macro-level U.S. Census Bureau State-to-State Migration flow matrices across 51 jurisdictions with over 1,400,000 individual microdata survey observations drawn from the IPUMS Current Population Survey (CPS) Annual Social and Economic Supplement (ASEC). To bridge the gap between aggregate macroeconomic dynamics and granular individual behavior, we formulate a novel Migration Pressure Index (MPI) that quantifies directional demographic momentum normalized against state-level population scales.</w:t>
      </w:r>
    </w:p>
    <w:p w14:paraId="276741EA" w14:textId="77777777" w:rsidR="003774C2" w:rsidRDefault="00000000">
      <w:pPr>
        <w:jc w:val="both"/>
      </w:pPr>
      <w:r>
        <w:rPr>
          <w:color w:val="1F242E"/>
        </w:rPr>
        <w:t>Using regularized Logistic Regression with an L2 Ridge penalty trained on historical 2010–2017 observations and evaluated on a strict temporal holdout set (2018–2019), the predictive model achieves an Area Under the Receiver Operating Characteristic Curve (ROC-AUC) of 0.7248, an overall classification accuracy of 72.5%, and a 5-fold cross-validation score of 0.7192 (±0.014). Empirical findings reveal a pronounced young-adult mobility curve, wherein individuals aged 18–34 exhibit a 3.4-fold higher relocation propensity than older cohorts, and households earning below $25,000 demonstrate heightened displacement vulnerability. The predictive engine is deployed via a full-stack, commercial-grade React Admin Dashboard featuring dual-theme contrast harmonization, 51-state geographic heatmaps, and an interactive AI Risk Copilot for natural language policy queries.</w:t>
      </w:r>
    </w:p>
    <w:p w14:paraId="3F58836D" w14:textId="77777777" w:rsidR="003774C2" w:rsidRDefault="00000000">
      <w:pPr>
        <w:jc w:val="both"/>
      </w:pPr>
      <w:r>
        <w:rPr>
          <w:color w:val="1F242E"/>
        </w:rPr>
        <w:t>Keywords: Population Flight, Demographic Analytics, Logistic Regression, Migration Pressure Index, IPUMS CPS, U.S. Census Bureau, Spatial Mobility, Predictive Intelligence, Public Policy.</w:t>
      </w:r>
    </w:p>
    <w:p w14:paraId="41B6C922" w14:textId="77777777" w:rsidR="003774C2" w:rsidRDefault="00000000">
      <w:r>
        <w:br w:type="page"/>
      </w:r>
    </w:p>
    <w:p w14:paraId="1C4F03B5" w14:textId="77777777" w:rsidR="003774C2" w:rsidRDefault="00000000">
      <w:pPr>
        <w:spacing w:before="360" w:after="280"/>
        <w:jc w:val="center"/>
      </w:pPr>
      <w:r>
        <w:rPr>
          <w:b/>
          <w:color w:val="0F306E"/>
          <w:sz w:val="32"/>
        </w:rPr>
        <w:lastRenderedPageBreak/>
        <w:t>TABLE OF CONTENTS</w:t>
      </w:r>
    </w:p>
    <w:tbl>
      <w:tblPr>
        <w:tblW w:w="0" w:type="auto"/>
        <w:jc w:val="center"/>
        <w:tblLook w:val="04A0" w:firstRow="1" w:lastRow="0" w:firstColumn="1" w:lastColumn="0" w:noHBand="0" w:noVBand="1"/>
      </w:tblPr>
      <w:tblGrid>
        <w:gridCol w:w="6103"/>
        <w:gridCol w:w="3473"/>
      </w:tblGrid>
      <w:tr w:rsidR="003774C2" w14:paraId="4501A96B" w14:textId="77777777" w:rsidTr="006815CA">
        <w:trPr>
          <w:jc w:val="center"/>
        </w:trPr>
        <w:tc>
          <w:tcPr>
            <w:tcW w:w="6103" w:type="dxa"/>
          </w:tcPr>
          <w:p w14:paraId="1E4DEEE1" w14:textId="77777777" w:rsidR="003774C2" w:rsidRDefault="00000000">
            <w:r>
              <w:rPr>
                <w:b/>
              </w:rPr>
              <w:t>Title / Chapter / Section</w:t>
            </w:r>
          </w:p>
        </w:tc>
        <w:tc>
          <w:tcPr>
            <w:tcW w:w="3473" w:type="dxa"/>
          </w:tcPr>
          <w:p w14:paraId="2ED1E317" w14:textId="77777777" w:rsidR="003774C2" w:rsidRDefault="00000000">
            <w:pPr>
              <w:jc w:val="right"/>
            </w:pPr>
            <w:r>
              <w:rPr>
                <w:b/>
              </w:rPr>
              <w:t>Page No.</w:t>
            </w:r>
          </w:p>
        </w:tc>
      </w:tr>
      <w:tr w:rsidR="003774C2" w14:paraId="5B5F55E6" w14:textId="77777777" w:rsidTr="006815CA">
        <w:trPr>
          <w:jc w:val="center"/>
        </w:trPr>
        <w:tc>
          <w:tcPr>
            <w:tcW w:w="6103" w:type="dxa"/>
          </w:tcPr>
          <w:p w14:paraId="6BCD5352" w14:textId="77777777" w:rsidR="003774C2" w:rsidRDefault="00000000">
            <w:pPr>
              <w:spacing w:after="40"/>
            </w:pPr>
            <w:r>
              <w:t>Declaration</w:t>
            </w:r>
          </w:p>
        </w:tc>
        <w:tc>
          <w:tcPr>
            <w:tcW w:w="3473" w:type="dxa"/>
          </w:tcPr>
          <w:p w14:paraId="3F026EBE" w14:textId="77777777" w:rsidR="003774C2" w:rsidRDefault="00000000">
            <w:pPr>
              <w:spacing w:after="40"/>
              <w:jc w:val="right"/>
            </w:pPr>
            <w:r>
              <w:t>ii</w:t>
            </w:r>
          </w:p>
        </w:tc>
      </w:tr>
      <w:tr w:rsidR="003774C2" w14:paraId="37FBD346" w14:textId="77777777" w:rsidTr="006815CA">
        <w:trPr>
          <w:jc w:val="center"/>
        </w:trPr>
        <w:tc>
          <w:tcPr>
            <w:tcW w:w="6103" w:type="dxa"/>
          </w:tcPr>
          <w:p w14:paraId="736F4174" w14:textId="77777777" w:rsidR="003774C2" w:rsidRDefault="00000000">
            <w:pPr>
              <w:spacing w:after="40"/>
            </w:pPr>
            <w:r>
              <w:t>Certificate</w:t>
            </w:r>
          </w:p>
        </w:tc>
        <w:tc>
          <w:tcPr>
            <w:tcW w:w="3473" w:type="dxa"/>
          </w:tcPr>
          <w:p w14:paraId="0E2EE45F" w14:textId="77777777" w:rsidR="003774C2" w:rsidRDefault="00000000">
            <w:pPr>
              <w:spacing w:after="40"/>
              <w:jc w:val="right"/>
            </w:pPr>
            <w:r>
              <w:t>iii</w:t>
            </w:r>
          </w:p>
        </w:tc>
      </w:tr>
      <w:tr w:rsidR="003774C2" w14:paraId="258CA0E8" w14:textId="77777777" w:rsidTr="006815CA">
        <w:trPr>
          <w:jc w:val="center"/>
        </w:trPr>
        <w:tc>
          <w:tcPr>
            <w:tcW w:w="6103" w:type="dxa"/>
          </w:tcPr>
          <w:p w14:paraId="52E4F833" w14:textId="77777777" w:rsidR="003774C2" w:rsidRDefault="00000000">
            <w:pPr>
              <w:spacing w:after="40"/>
            </w:pPr>
            <w:r>
              <w:t>Acknowledgement</w:t>
            </w:r>
          </w:p>
        </w:tc>
        <w:tc>
          <w:tcPr>
            <w:tcW w:w="3473" w:type="dxa"/>
          </w:tcPr>
          <w:p w14:paraId="35129937" w14:textId="77777777" w:rsidR="003774C2" w:rsidRDefault="00000000">
            <w:pPr>
              <w:spacing w:after="40"/>
              <w:jc w:val="right"/>
            </w:pPr>
            <w:r>
              <w:t>iv</w:t>
            </w:r>
          </w:p>
        </w:tc>
      </w:tr>
      <w:tr w:rsidR="003774C2" w14:paraId="35A0DB76" w14:textId="77777777" w:rsidTr="006815CA">
        <w:trPr>
          <w:jc w:val="center"/>
        </w:trPr>
        <w:tc>
          <w:tcPr>
            <w:tcW w:w="6103" w:type="dxa"/>
          </w:tcPr>
          <w:p w14:paraId="1F05BA87" w14:textId="77777777" w:rsidR="003774C2" w:rsidRDefault="00000000">
            <w:pPr>
              <w:spacing w:after="40"/>
            </w:pPr>
            <w:r>
              <w:t>Abstract</w:t>
            </w:r>
          </w:p>
        </w:tc>
        <w:tc>
          <w:tcPr>
            <w:tcW w:w="3473" w:type="dxa"/>
          </w:tcPr>
          <w:p w14:paraId="39D18324" w14:textId="77777777" w:rsidR="003774C2" w:rsidRDefault="00000000">
            <w:pPr>
              <w:spacing w:after="40"/>
              <w:jc w:val="right"/>
            </w:pPr>
            <w:r>
              <w:t>v</w:t>
            </w:r>
          </w:p>
        </w:tc>
      </w:tr>
      <w:tr w:rsidR="003774C2" w14:paraId="52313045" w14:textId="77777777" w:rsidTr="006815CA">
        <w:trPr>
          <w:jc w:val="center"/>
        </w:trPr>
        <w:tc>
          <w:tcPr>
            <w:tcW w:w="6103" w:type="dxa"/>
          </w:tcPr>
          <w:p w14:paraId="77102078" w14:textId="77777777" w:rsidR="003774C2" w:rsidRDefault="00000000">
            <w:pPr>
              <w:spacing w:after="40"/>
            </w:pPr>
            <w:r>
              <w:t>List of Figures</w:t>
            </w:r>
          </w:p>
        </w:tc>
        <w:tc>
          <w:tcPr>
            <w:tcW w:w="3473" w:type="dxa"/>
          </w:tcPr>
          <w:p w14:paraId="40BA9D4B" w14:textId="77777777" w:rsidR="003774C2" w:rsidRDefault="00000000">
            <w:pPr>
              <w:spacing w:after="40"/>
              <w:jc w:val="right"/>
            </w:pPr>
            <w:r>
              <w:t>vii</w:t>
            </w:r>
          </w:p>
        </w:tc>
      </w:tr>
      <w:tr w:rsidR="003774C2" w14:paraId="14B9B7D5" w14:textId="77777777" w:rsidTr="006815CA">
        <w:trPr>
          <w:jc w:val="center"/>
        </w:trPr>
        <w:tc>
          <w:tcPr>
            <w:tcW w:w="6103" w:type="dxa"/>
          </w:tcPr>
          <w:p w14:paraId="4415A1BB" w14:textId="77777777" w:rsidR="003774C2" w:rsidRDefault="00000000">
            <w:pPr>
              <w:spacing w:after="40"/>
            </w:pPr>
            <w:r>
              <w:t>List of Tables</w:t>
            </w:r>
          </w:p>
        </w:tc>
        <w:tc>
          <w:tcPr>
            <w:tcW w:w="3473" w:type="dxa"/>
          </w:tcPr>
          <w:p w14:paraId="0CEA5489" w14:textId="77777777" w:rsidR="003774C2" w:rsidRDefault="00000000">
            <w:pPr>
              <w:spacing w:after="40"/>
              <w:jc w:val="right"/>
            </w:pPr>
            <w:r>
              <w:t>viii</w:t>
            </w:r>
          </w:p>
        </w:tc>
      </w:tr>
      <w:tr w:rsidR="003774C2" w14:paraId="29A12BC2" w14:textId="77777777" w:rsidTr="006815CA">
        <w:trPr>
          <w:jc w:val="center"/>
        </w:trPr>
        <w:tc>
          <w:tcPr>
            <w:tcW w:w="6103" w:type="dxa"/>
          </w:tcPr>
          <w:p w14:paraId="33CE125D" w14:textId="77777777" w:rsidR="003774C2" w:rsidRDefault="00000000">
            <w:pPr>
              <w:spacing w:after="40"/>
            </w:pPr>
            <w:r>
              <w:t>List of Abbreviations</w:t>
            </w:r>
          </w:p>
        </w:tc>
        <w:tc>
          <w:tcPr>
            <w:tcW w:w="3473" w:type="dxa"/>
          </w:tcPr>
          <w:p w14:paraId="03A3452B" w14:textId="77777777" w:rsidR="003774C2" w:rsidRDefault="00000000">
            <w:pPr>
              <w:spacing w:after="40"/>
              <w:jc w:val="right"/>
            </w:pPr>
            <w:r>
              <w:t>ix</w:t>
            </w:r>
          </w:p>
        </w:tc>
      </w:tr>
      <w:tr w:rsidR="003774C2" w14:paraId="140E961C" w14:textId="77777777" w:rsidTr="006815CA">
        <w:trPr>
          <w:jc w:val="center"/>
        </w:trPr>
        <w:tc>
          <w:tcPr>
            <w:tcW w:w="6103" w:type="dxa"/>
          </w:tcPr>
          <w:p w14:paraId="2718809A" w14:textId="77777777" w:rsidR="003774C2" w:rsidRDefault="00000000">
            <w:pPr>
              <w:spacing w:after="40"/>
            </w:pPr>
            <w:r>
              <w:rPr>
                <w:b/>
              </w:rPr>
              <w:t>CHAPTER 1: INTRODUCTION</w:t>
            </w:r>
          </w:p>
        </w:tc>
        <w:tc>
          <w:tcPr>
            <w:tcW w:w="3473" w:type="dxa"/>
          </w:tcPr>
          <w:p w14:paraId="720A6697" w14:textId="77777777" w:rsidR="003774C2" w:rsidRDefault="00000000">
            <w:pPr>
              <w:spacing w:after="40"/>
              <w:jc w:val="right"/>
            </w:pPr>
            <w:r>
              <w:rPr>
                <w:b/>
              </w:rPr>
              <w:t>1</w:t>
            </w:r>
          </w:p>
        </w:tc>
      </w:tr>
      <w:tr w:rsidR="003774C2" w14:paraId="42DFDF27" w14:textId="77777777" w:rsidTr="006815CA">
        <w:trPr>
          <w:jc w:val="center"/>
        </w:trPr>
        <w:tc>
          <w:tcPr>
            <w:tcW w:w="6103" w:type="dxa"/>
          </w:tcPr>
          <w:p w14:paraId="0EA16F57" w14:textId="77777777" w:rsidR="003774C2" w:rsidRDefault="00000000">
            <w:pPr>
              <w:spacing w:after="40"/>
            </w:pPr>
            <w:r>
              <w:t xml:space="preserve">    1.1 Background and Socio-Economic Motivation</w:t>
            </w:r>
          </w:p>
        </w:tc>
        <w:tc>
          <w:tcPr>
            <w:tcW w:w="3473" w:type="dxa"/>
          </w:tcPr>
          <w:p w14:paraId="623914CD" w14:textId="77777777" w:rsidR="003774C2" w:rsidRDefault="00000000">
            <w:pPr>
              <w:spacing w:after="40"/>
              <w:jc w:val="right"/>
            </w:pPr>
            <w:r>
              <w:t>1</w:t>
            </w:r>
          </w:p>
        </w:tc>
      </w:tr>
      <w:tr w:rsidR="003774C2" w14:paraId="6D17E316" w14:textId="77777777" w:rsidTr="006815CA">
        <w:trPr>
          <w:jc w:val="center"/>
        </w:trPr>
        <w:tc>
          <w:tcPr>
            <w:tcW w:w="6103" w:type="dxa"/>
          </w:tcPr>
          <w:p w14:paraId="2180BD7A" w14:textId="77777777" w:rsidR="003774C2" w:rsidRDefault="00000000">
            <w:pPr>
              <w:spacing w:after="40"/>
            </w:pPr>
            <w:r>
              <w:t xml:space="preserve">    1.2 The Demographic Imperative: Limitations of Retrospective Reporting</w:t>
            </w:r>
          </w:p>
        </w:tc>
        <w:tc>
          <w:tcPr>
            <w:tcW w:w="3473" w:type="dxa"/>
          </w:tcPr>
          <w:p w14:paraId="62F1B0C8" w14:textId="77777777" w:rsidR="003774C2" w:rsidRDefault="00000000">
            <w:pPr>
              <w:spacing w:after="40"/>
              <w:jc w:val="right"/>
            </w:pPr>
            <w:r>
              <w:t>2</w:t>
            </w:r>
          </w:p>
        </w:tc>
      </w:tr>
      <w:tr w:rsidR="003774C2" w14:paraId="64F36827" w14:textId="77777777" w:rsidTr="006815CA">
        <w:trPr>
          <w:jc w:val="center"/>
        </w:trPr>
        <w:tc>
          <w:tcPr>
            <w:tcW w:w="6103" w:type="dxa"/>
          </w:tcPr>
          <w:p w14:paraId="486FBB8D" w14:textId="77777777" w:rsidR="003774C2" w:rsidRDefault="00000000">
            <w:pPr>
              <w:spacing w:after="40"/>
            </w:pPr>
            <w:r>
              <w:t xml:space="preserve">    1.3 Scope, Stakeholders, and Target Policy Domains</w:t>
            </w:r>
          </w:p>
        </w:tc>
        <w:tc>
          <w:tcPr>
            <w:tcW w:w="3473" w:type="dxa"/>
          </w:tcPr>
          <w:p w14:paraId="017AF41B" w14:textId="77777777" w:rsidR="003774C2" w:rsidRDefault="00000000">
            <w:pPr>
              <w:spacing w:after="40"/>
              <w:jc w:val="right"/>
            </w:pPr>
            <w:r>
              <w:t>3</w:t>
            </w:r>
          </w:p>
        </w:tc>
      </w:tr>
      <w:tr w:rsidR="003774C2" w14:paraId="0DC25D6C" w14:textId="77777777" w:rsidTr="006815CA">
        <w:trPr>
          <w:jc w:val="center"/>
        </w:trPr>
        <w:tc>
          <w:tcPr>
            <w:tcW w:w="6103" w:type="dxa"/>
          </w:tcPr>
          <w:p w14:paraId="68EF90C9" w14:textId="77777777" w:rsidR="003774C2" w:rsidRDefault="00000000">
            <w:pPr>
              <w:spacing w:after="40"/>
            </w:pPr>
            <w:r>
              <w:t xml:space="preserve">    1.4 Research Questions and Academic Contributions</w:t>
            </w:r>
          </w:p>
        </w:tc>
        <w:tc>
          <w:tcPr>
            <w:tcW w:w="3473" w:type="dxa"/>
          </w:tcPr>
          <w:p w14:paraId="4992548C" w14:textId="77777777" w:rsidR="003774C2" w:rsidRDefault="00000000">
            <w:pPr>
              <w:spacing w:after="40"/>
              <w:jc w:val="right"/>
            </w:pPr>
            <w:r>
              <w:t>4</w:t>
            </w:r>
          </w:p>
        </w:tc>
      </w:tr>
      <w:tr w:rsidR="003774C2" w14:paraId="3F958BDF" w14:textId="77777777" w:rsidTr="006815CA">
        <w:trPr>
          <w:jc w:val="center"/>
        </w:trPr>
        <w:tc>
          <w:tcPr>
            <w:tcW w:w="6103" w:type="dxa"/>
          </w:tcPr>
          <w:p w14:paraId="7486B48C" w14:textId="77777777" w:rsidR="003774C2" w:rsidRDefault="00000000">
            <w:pPr>
              <w:spacing w:after="40"/>
            </w:pPr>
            <w:r>
              <w:t xml:space="preserve">    1.5 Report Organization</w:t>
            </w:r>
          </w:p>
        </w:tc>
        <w:tc>
          <w:tcPr>
            <w:tcW w:w="3473" w:type="dxa"/>
          </w:tcPr>
          <w:p w14:paraId="6EC96787" w14:textId="77777777" w:rsidR="003774C2" w:rsidRDefault="00000000">
            <w:pPr>
              <w:spacing w:after="40"/>
              <w:jc w:val="right"/>
            </w:pPr>
            <w:r>
              <w:t>5</w:t>
            </w:r>
          </w:p>
        </w:tc>
      </w:tr>
      <w:tr w:rsidR="003774C2" w14:paraId="5D3FD559" w14:textId="77777777" w:rsidTr="006815CA">
        <w:trPr>
          <w:jc w:val="center"/>
        </w:trPr>
        <w:tc>
          <w:tcPr>
            <w:tcW w:w="6103" w:type="dxa"/>
          </w:tcPr>
          <w:p w14:paraId="6723BE27" w14:textId="77777777" w:rsidR="003774C2" w:rsidRDefault="00000000">
            <w:pPr>
              <w:spacing w:after="40"/>
            </w:pPr>
            <w:r>
              <w:rPr>
                <w:b/>
              </w:rPr>
              <w:t>CHAPTER 2: LITERATURE SURVEY</w:t>
            </w:r>
          </w:p>
        </w:tc>
        <w:tc>
          <w:tcPr>
            <w:tcW w:w="3473" w:type="dxa"/>
          </w:tcPr>
          <w:p w14:paraId="6142DDB2" w14:textId="77777777" w:rsidR="003774C2" w:rsidRDefault="00000000">
            <w:pPr>
              <w:spacing w:after="40"/>
              <w:jc w:val="right"/>
            </w:pPr>
            <w:r>
              <w:rPr>
                <w:b/>
              </w:rPr>
              <w:t>6</w:t>
            </w:r>
          </w:p>
        </w:tc>
      </w:tr>
      <w:tr w:rsidR="003774C2" w14:paraId="171C8103" w14:textId="77777777" w:rsidTr="006815CA">
        <w:trPr>
          <w:jc w:val="center"/>
        </w:trPr>
        <w:tc>
          <w:tcPr>
            <w:tcW w:w="6103" w:type="dxa"/>
          </w:tcPr>
          <w:p w14:paraId="74E88F72" w14:textId="77777777" w:rsidR="003774C2" w:rsidRDefault="00000000">
            <w:pPr>
              <w:spacing w:after="40"/>
            </w:pPr>
            <w:r>
              <w:t xml:space="preserve">    2.1 Thematic Survey of Contemporary Research</w:t>
            </w:r>
          </w:p>
        </w:tc>
        <w:tc>
          <w:tcPr>
            <w:tcW w:w="3473" w:type="dxa"/>
          </w:tcPr>
          <w:p w14:paraId="18D3F9A2" w14:textId="77777777" w:rsidR="003774C2" w:rsidRDefault="00000000">
            <w:pPr>
              <w:spacing w:after="40"/>
              <w:jc w:val="right"/>
            </w:pPr>
            <w:r>
              <w:t>6</w:t>
            </w:r>
          </w:p>
        </w:tc>
      </w:tr>
      <w:tr w:rsidR="003774C2" w14:paraId="3D4AF818" w14:textId="77777777" w:rsidTr="006815CA">
        <w:trPr>
          <w:jc w:val="center"/>
        </w:trPr>
        <w:tc>
          <w:tcPr>
            <w:tcW w:w="6103" w:type="dxa"/>
          </w:tcPr>
          <w:p w14:paraId="3B8E1CAB" w14:textId="77777777" w:rsidR="003774C2" w:rsidRDefault="00000000">
            <w:pPr>
              <w:spacing w:after="40"/>
            </w:pPr>
            <w:r>
              <w:t xml:space="preserve">        2.1.1 Classical Macro-Demographic Gravity and Spatial Interaction Models</w:t>
            </w:r>
          </w:p>
        </w:tc>
        <w:tc>
          <w:tcPr>
            <w:tcW w:w="3473" w:type="dxa"/>
          </w:tcPr>
          <w:p w14:paraId="55EE9806" w14:textId="77777777" w:rsidR="003774C2" w:rsidRDefault="00000000">
            <w:pPr>
              <w:spacing w:after="40"/>
              <w:jc w:val="right"/>
            </w:pPr>
            <w:r>
              <w:t>6</w:t>
            </w:r>
          </w:p>
        </w:tc>
      </w:tr>
      <w:tr w:rsidR="003774C2" w14:paraId="45D34BE7" w14:textId="77777777" w:rsidTr="006815CA">
        <w:trPr>
          <w:jc w:val="center"/>
        </w:trPr>
        <w:tc>
          <w:tcPr>
            <w:tcW w:w="6103" w:type="dxa"/>
          </w:tcPr>
          <w:p w14:paraId="001C895D" w14:textId="77777777" w:rsidR="003774C2" w:rsidRDefault="00000000">
            <w:pPr>
              <w:spacing w:after="40"/>
            </w:pPr>
            <w:r>
              <w:t xml:space="preserve">        2.1.2 Micro-Level Survey Analytics and Census Microdata Utilization</w:t>
            </w:r>
          </w:p>
        </w:tc>
        <w:tc>
          <w:tcPr>
            <w:tcW w:w="3473" w:type="dxa"/>
          </w:tcPr>
          <w:p w14:paraId="61CE63B0" w14:textId="77777777" w:rsidR="003774C2" w:rsidRDefault="00000000">
            <w:pPr>
              <w:spacing w:after="40"/>
              <w:jc w:val="right"/>
            </w:pPr>
            <w:r>
              <w:t>8</w:t>
            </w:r>
          </w:p>
        </w:tc>
      </w:tr>
      <w:tr w:rsidR="003774C2" w14:paraId="18267BE6" w14:textId="77777777" w:rsidTr="006815CA">
        <w:trPr>
          <w:jc w:val="center"/>
        </w:trPr>
        <w:tc>
          <w:tcPr>
            <w:tcW w:w="6103" w:type="dxa"/>
          </w:tcPr>
          <w:p w14:paraId="5613B389" w14:textId="77777777" w:rsidR="003774C2" w:rsidRDefault="00000000">
            <w:pPr>
              <w:spacing w:after="40"/>
            </w:pPr>
            <w:r>
              <w:t xml:space="preserve">        2.1.3 Machine Learning Applications in Spatial Mobility Prediction</w:t>
            </w:r>
          </w:p>
        </w:tc>
        <w:tc>
          <w:tcPr>
            <w:tcW w:w="3473" w:type="dxa"/>
          </w:tcPr>
          <w:p w14:paraId="4CDB67B5" w14:textId="77777777" w:rsidR="003774C2" w:rsidRDefault="00000000">
            <w:pPr>
              <w:spacing w:after="40"/>
              <w:jc w:val="right"/>
            </w:pPr>
            <w:r>
              <w:t>9</w:t>
            </w:r>
          </w:p>
        </w:tc>
      </w:tr>
      <w:tr w:rsidR="003774C2" w14:paraId="588161A1" w14:textId="77777777" w:rsidTr="006815CA">
        <w:trPr>
          <w:jc w:val="center"/>
        </w:trPr>
        <w:tc>
          <w:tcPr>
            <w:tcW w:w="6103" w:type="dxa"/>
          </w:tcPr>
          <w:p w14:paraId="176BE4AC" w14:textId="77777777" w:rsidR="003774C2" w:rsidRDefault="00000000">
            <w:pPr>
              <w:spacing w:after="40"/>
            </w:pPr>
            <w:r>
              <w:t xml:space="preserve">        2.1.4 Fiscal Impact, Tax Base Erosion, and Municipal Infrastructure Stress</w:t>
            </w:r>
          </w:p>
        </w:tc>
        <w:tc>
          <w:tcPr>
            <w:tcW w:w="3473" w:type="dxa"/>
          </w:tcPr>
          <w:p w14:paraId="21306437" w14:textId="77777777" w:rsidR="003774C2" w:rsidRDefault="00000000">
            <w:pPr>
              <w:spacing w:after="40"/>
              <w:jc w:val="right"/>
            </w:pPr>
            <w:r>
              <w:t>11</w:t>
            </w:r>
          </w:p>
        </w:tc>
      </w:tr>
      <w:tr w:rsidR="003774C2" w14:paraId="227BCB34" w14:textId="77777777" w:rsidTr="006815CA">
        <w:trPr>
          <w:jc w:val="center"/>
        </w:trPr>
        <w:tc>
          <w:tcPr>
            <w:tcW w:w="6103" w:type="dxa"/>
          </w:tcPr>
          <w:p w14:paraId="768B3A8C" w14:textId="77777777" w:rsidR="003774C2" w:rsidRDefault="00000000">
            <w:pPr>
              <w:spacing w:after="40"/>
            </w:pPr>
            <w:r>
              <w:t xml:space="preserve">    2.2 Outcome and Synthesis of Literature Survey</w:t>
            </w:r>
          </w:p>
        </w:tc>
        <w:tc>
          <w:tcPr>
            <w:tcW w:w="3473" w:type="dxa"/>
          </w:tcPr>
          <w:p w14:paraId="5651FDA0" w14:textId="77777777" w:rsidR="003774C2" w:rsidRDefault="00000000">
            <w:pPr>
              <w:spacing w:after="40"/>
              <w:jc w:val="right"/>
            </w:pPr>
            <w:r>
              <w:t>12</w:t>
            </w:r>
          </w:p>
        </w:tc>
      </w:tr>
      <w:tr w:rsidR="003774C2" w14:paraId="74716AF3" w14:textId="77777777" w:rsidTr="006815CA">
        <w:trPr>
          <w:jc w:val="center"/>
        </w:trPr>
        <w:tc>
          <w:tcPr>
            <w:tcW w:w="6103" w:type="dxa"/>
          </w:tcPr>
          <w:p w14:paraId="022F48D6" w14:textId="77777777" w:rsidR="003774C2" w:rsidRDefault="00000000">
            <w:pPr>
              <w:spacing w:after="40"/>
            </w:pPr>
            <w:r>
              <w:t xml:space="preserve">    2.3 Problem Statement, Project Aim, and Specific Research Objectives</w:t>
            </w:r>
          </w:p>
        </w:tc>
        <w:tc>
          <w:tcPr>
            <w:tcW w:w="3473" w:type="dxa"/>
          </w:tcPr>
          <w:p w14:paraId="6B09DD08" w14:textId="77777777" w:rsidR="003774C2" w:rsidRDefault="00000000">
            <w:pPr>
              <w:spacing w:after="40"/>
              <w:jc w:val="right"/>
            </w:pPr>
            <w:r>
              <w:t>14</w:t>
            </w:r>
          </w:p>
        </w:tc>
      </w:tr>
      <w:tr w:rsidR="003774C2" w14:paraId="19E50FE9" w14:textId="77777777" w:rsidTr="006815CA">
        <w:trPr>
          <w:jc w:val="center"/>
        </w:trPr>
        <w:tc>
          <w:tcPr>
            <w:tcW w:w="6103" w:type="dxa"/>
          </w:tcPr>
          <w:p w14:paraId="3E20E48A" w14:textId="77777777" w:rsidR="003774C2" w:rsidRDefault="00000000">
            <w:pPr>
              <w:spacing w:after="40"/>
            </w:pPr>
            <w:r>
              <w:rPr>
                <w:b/>
              </w:rPr>
              <w:t>CHAPTER 3: METHODOLOGY</w:t>
            </w:r>
          </w:p>
        </w:tc>
        <w:tc>
          <w:tcPr>
            <w:tcW w:w="3473" w:type="dxa"/>
          </w:tcPr>
          <w:p w14:paraId="0EEC4A24" w14:textId="77777777" w:rsidR="003774C2" w:rsidRDefault="00000000">
            <w:pPr>
              <w:spacing w:after="40"/>
              <w:jc w:val="right"/>
            </w:pPr>
            <w:r>
              <w:rPr>
                <w:b/>
              </w:rPr>
              <w:t>15</w:t>
            </w:r>
          </w:p>
        </w:tc>
      </w:tr>
      <w:tr w:rsidR="003774C2" w14:paraId="12645A2A" w14:textId="77777777" w:rsidTr="006815CA">
        <w:trPr>
          <w:jc w:val="center"/>
        </w:trPr>
        <w:tc>
          <w:tcPr>
            <w:tcW w:w="6103" w:type="dxa"/>
          </w:tcPr>
          <w:p w14:paraId="03A02667" w14:textId="77777777" w:rsidR="003774C2" w:rsidRDefault="00000000">
            <w:pPr>
              <w:spacing w:after="40"/>
            </w:pPr>
            <w:r>
              <w:t xml:space="preserve">    3.1 Proposed System Architecture and Processing Pipeline</w:t>
            </w:r>
          </w:p>
        </w:tc>
        <w:tc>
          <w:tcPr>
            <w:tcW w:w="3473" w:type="dxa"/>
          </w:tcPr>
          <w:p w14:paraId="31EDFF35" w14:textId="77777777" w:rsidR="003774C2" w:rsidRDefault="00000000">
            <w:pPr>
              <w:spacing w:after="40"/>
              <w:jc w:val="right"/>
            </w:pPr>
            <w:r>
              <w:t>15</w:t>
            </w:r>
          </w:p>
        </w:tc>
      </w:tr>
      <w:tr w:rsidR="003774C2" w14:paraId="18A2CC23" w14:textId="77777777" w:rsidTr="006815CA">
        <w:trPr>
          <w:jc w:val="center"/>
        </w:trPr>
        <w:tc>
          <w:tcPr>
            <w:tcW w:w="6103" w:type="dxa"/>
          </w:tcPr>
          <w:p w14:paraId="2EE3C2CB" w14:textId="77777777" w:rsidR="003774C2" w:rsidRDefault="00000000">
            <w:pPr>
              <w:spacing w:after="40"/>
            </w:pPr>
            <w:r>
              <w:t xml:space="preserve">    3.2 Authoritative Federal Data Acquisition and Preprocessing</w:t>
            </w:r>
          </w:p>
        </w:tc>
        <w:tc>
          <w:tcPr>
            <w:tcW w:w="3473" w:type="dxa"/>
          </w:tcPr>
          <w:p w14:paraId="72B4AECC" w14:textId="77777777" w:rsidR="003774C2" w:rsidRDefault="00000000">
            <w:pPr>
              <w:spacing w:after="40"/>
              <w:jc w:val="right"/>
            </w:pPr>
            <w:r>
              <w:t>16</w:t>
            </w:r>
          </w:p>
        </w:tc>
      </w:tr>
      <w:tr w:rsidR="003774C2" w14:paraId="5C8A7349" w14:textId="77777777" w:rsidTr="006815CA">
        <w:trPr>
          <w:jc w:val="center"/>
        </w:trPr>
        <w:tc>
          <w:tcPr>
            <w:tcW w:w="6103" w:type="dxa"/>
          </w:tcPr>
          <w:p w14:paraId="387E104A" w14:textId="77777777" w:rsidR="003774C2" w:rsidRDefault="00000000">
            <w:pPr>
              <w:spacing w:after="40"/>
            </w:pPr>
            <w:r>
              <w:t xml:space="preserve">    3.3 Feature Engineering: Mathematical Derivation of Migration Pressure Index</w:t>
            </w:r>
          </w:p>
        </w:tc>
        <w:tc>
          <w:tcPr>
            <w:tcW w:w="3473" w:type="dxa"/>
          </w:tcPr>
          <w:p w14:paraId="5743BBDA" w14:textId="77777777" w:rsidR="003774C2" w:rsidRDefault="00000000">
            <w:pPr>
              <w:spacing w:after="40"/>
              <w:jc w:val="right"/>
            </w:pPr>
            <w:r>
              <w:t>18</w:t>
            </w:r>
          </w:p>
        </w:tc>
      </w:tr>
      <w:tr w:rsidR="003774C2" w14:paraId="3DF865C0" w14:textId="77777777" w:rsidTr="006815CA">
        <w:trPr>
          <w:jc w:val="center"/>
        </w:trPr>
        <w:tc>
          <w:tcPr>
            <w:tcW w:w="6103" w:type="dxa"/>
          </w:tcPr>
          <w:p w14:paraId="4675903C" w14:textId="77777777" w:rsidR="003774C2" w:rsidRDefault="00000000">
            <w:pPr>
              <w:spacing w:after="40"/>
            </w:pPr>
            <w:r>
              <w:t xml:space="preserve">    3.4 Individual Feature Transformations and Categorical </w:t>
            </w:r>
            <w:r>
              <w:lastRenderedPageBreak/>
              <w:t>Encodings</w:t>
            </w:r>
          </w:p>
        </w:tc>
        <w:tc>
          <w:tcPr>
            <w:tcW w:w="3473" w:type="dxa"/>
          </w:tcPr>
          <w:p w14:paraId="272B2A09" w14:textId="77777777" w:rsidR="003774C2" w:rsidRDefault="00000000">
            <w:pPr>
              <w:spacing w:after="40"/>
              <w:jc w:val="right"/>
            </w:pPr>
            <w:r>
              <w:lastRenderedPageBreak/>
              <w:t>19</w:t>
            </w:r>
          </w:p>
        </w:tc>
      </w:tr>
      <w:tr w:rsidR="003774C2" w14:paraId="597D2B94" w14:textId="77777777" w:rsidTr="006815CA">
        <w:trPr>
          <w:jc w:val="center"/>
        </w:trPr>
        <w:tc>
          <w:tcPr>
            <w:tcW w:w="6103" w:type="dxa"/>
          </w:tcPr>
          <w:p w14:paraId="7D643F5A" w14:textId="77777777" w:rsidR="003774C2" w:rsidRDefault="00000000">
            <w:pPr>
              <w:spacing w:after="40"/>
            </w:pPr>
            <w:r>
              <w:t xml:space="preserve">    3.5 Classification Model Formulation and Objective Functions</w:t>
            </w:r>
          </w:p>
        </w:tc>
        <w:tc>
          <w:tcPr>
            <w:tcW w:w="3473" w:type="dxa"/>
          </w:tcPr>
          <w:p w14:paraId="09DF6047" w14:textId="77777777" w:rsidR="003774C2" w:rsidRDefault="00000000">
            <w:pPr>
              <w:spacing w:after="40"/>
              <w:jc w:val="right"/>
            </w:pPr>
            <w:r>
              <w:t>20</w:t>
            </w:r>
          </w:p>
        </w:tc>
      </w:tr>
      <w:tr w:rsidR="003774C2" w14:paraId="302B5851" w14:textId="77777777" w:rsidTr="006815CA">
        <w:trPr>
          <w:jc w:val="center"/>
        </w:trPr>
        <w:tc>
          <w:tcPr>
            <w:tcW w:w="6103" w:type="dxa"/>
          </w:tcPr>
          <w:p w14:paraId="31FDB7EA" w14:textId="77777777" w:rsidR="003774C2" w:rsidRDefault="00000000">
            <w:pPr>
              <w:spacing w:after="40"/>
            </w:pPr>
            <w:r>
              <w:t xml:space="preserve">    3.6 Evaluation Framework and Temporal Holdout Strategy</w:t>
            </w:r>
          </w:p>
        </w:tc>
        <w:tc>
          <w:tcPr>
            <w:tcW w:w="3473" w:type="dxa"/>
          </w:tcPr>
          <w:p w14:paraId="6D855C1B" w14:textId="77777777" w:rsidR="003774C2" w:rsidRDefault="00000000">
            <w:pPr>
              <w:spacing w:after="40"/>
              <w:jc w:val="right"/>
            </w:pPr>
            <w:r>
              <w:t>21</w:t>
            </w:r>
          </w:p>
        </w:tc>
      </w:tr>
      <w:tr w:rsidR="003774C2" w14:paraId="582965E3" w14:textId="77777777" w:rsidTr="006815CA">
        <w:trPr>
          <w:jc w:val="center"/>
        </w:trPr>
        <w:tc>
          <w:tcPr>
            <w:tcW w:w="6103" w:type="dxa"/>
          </w:tcPr>
          <w:p w14:paraId="09E7F378" w14:textId="77777777" w:rsidR="003774C2" w:rsidRDefault="00000000">
            <w:pPr>
              <w:spacing w:after="40"/>
            </w:pPr>
            <w:r>
              <w:rPr>
                <w:b/>
              </w:rPr>
              <w:t>CHAPTER 4: EXPERIMENTAL RESULTS AND DISCUSSION</w:t>
            </w:r>
          </w:p>
        </w:tc>
        <w:tc>
          <w:tcPr>
            <w:tcW w:w="3473" w:type="dxa"/>
          </w:tcPr>
          <w:p w14:paraId="2274067B" w14:textId="77777777" w:rsidR="003774C2" w:rsidRDefault="00000000">
            <w:pPr>
              <w:spacing w:after="40"/>
              <w:jc w:val="right"/>
            </w:pPr>
            <w:r>
              <w:rPr>
                <w:b/>
              </w:rPr>
              <w:t>23</w:t>
            </w:r>
          </w:p>
        </w:tc>
      </w:tr>
      <w:tr w:rsidR="003774C2" w14:paraId="0FD9AF35" w14:textId="77777777" w:rsidTr="006815CA">
        <w:trPr>
          <w:jc w:val="center"/>
        </w:trPr>
        <w:tc>
          <w:tcPr>
            <w:tcW w:w="6103" w:type="dxa"/>
          </w:tcPr>
          <w:p w14:paraId="4736A110" w14:textId="77777777" w:rsidR="003774C2" w:rsidRDefault="00000000">
            <w:pPr>
              <w:spacing w:after="40"/>
            </w:pPr>
            <w:r>
              <w:t xml:space="preserve">    4.1 Exploratory Data Analysis and Empirical Baseline Dynamics</w:t>
            </w:r>
          </w:p>
        </w:tc>
        <w:tc>
          <w:tcPr>
            <w:tcW w:w="3473" w:type="dxa"/>
          </w:tcPr>
          <w:p w14:paraId="15CDB65C" w14:textId="77777777" w:rsidR="003774C2" w:rsidRDefault="00000000">
            <w:pPr>
              <w:spacing w:after="40"/>
              <w:jc w:val="right"/>
            </w:pPr>
            <w:r>
              <w:t>23</w:t>
            </w:r>
          </w:p>
        </w:tc>
      </w:tr>
      <w:tr w:rsidR="003774C2" w14:paraId="17CBD90B" w14:textId="77777777" w:rsidTr="006815CA">
        <w:trPr>
          <w:jc w:val="center"/>
        </w:trPr>
        <w:tc>
          <w:tcPr>
            <w:tcW w:w="6103" w:type="dxa"/>
          </w:tcPr>
          <w:p w14:paraId="2D23382E" w14:textId="77777777" w:rsidR="003774C2" w:rsidRDefault="00000000">
            <w:pPr>
              <w:spacing w:after="40"/>
            </w:pPr>
            <w:r>
              <w:t xml:space="preserve">    4.2 Demographic Risk Factor Analysis (Age, Income, Education, Employment)</w:t>
            </w:r>
          </w:p>
        </w:tc>
        <w:tc>
          <w:tcPr>
            <w:tcW w:w="3473" w:type="dxa"/>
          </w:tcPr>
          <w:p w14:paraId="3B2F11D5" w14:textId="77777777" w:rsidR="003774C2" w:rsidRDefault="00000000">
            <w:pPr>
              <w:spacing w:after="40"/>
              <w:jc w:val="right"/>
            </w:pPr>
            <w:r>
              <w:t>25</w:t>
            </w:r>
          </w:p>
        </w:tc>
      </w:tr>
      <w:tr w:rsidR="003774C2" w14:paraId="12637292" w14:textId="77777777" w:rsidTr="006815CA">
        <w:trPr>
          <w:jc w:val="center"/>
        </w:trPr>
        <w:tc>
          <w:tcPr>
            <w:tcW w:w="6103" w:type="dxa"/>
          </w:tcPr>
          <w:p w14:paraId="02524B79" w14:textId="77777777" w:rsidR="003774C2" w:rsidRDefault="00000000">
            <w:pPr>
              <w:spacing w:after="40"/>
            </w:pPr>
            <w:r>
              <w:t xml:space="preserve">    4.3 Machine Learning Model Performance &amp; Validation Scorecard</w:t>
            </w:r>
          </w:p>
        </w:tc>
        <w:tc>
          <w:tcPr>
            <w:tcW w:w="3473" w:type="dxa"/>
          </w:tcPr>
          <w:p w14:paraId="2A261795" w14:textId="77777777" w:rsidR="003774C2" w:rsidRDefault="00000000">
            <w:pPr>
              <w:spacing w:after="40"/>
              <w:jc w:val="right"/>
            </w:pPr>
            <w:r>
              <w:t>27</w:t>
            </w:r>
          </w:p>
        </w:tc>
      </w:tr>
      <w:tr w:rsidR="003774C2" w14:paraId="5DD7F840" w14:textId="77777777" w:rsidTr="006815CA">
        <w:trPr>
          <w:jc w:val="center"/>
        </w:trPr>
        <w:tc>
          <w:tcPr>
            <w:tcW w:w="6103" w:type="dxa"/>
          </w:tcPr>
          <w:p w14:paraId="0C2F0171" w14:textId="77777777" w:rsidR="003774C2" w:rsidRDefault="00000000">
            <w:pPr>
              <w:spacing w:after="40"/>
            </w:pPr>
            <w:r>
              <w:t xml:space="preserve">    4.4 Spatial Risk Distribution &amp; 51-State Ranking Benchmark</w:t>
            </w:r>
          </w:p>
        </w:tc>
        <w:tc>
          <w:tcPr>
            <w:tcW w:w="3473" w:type="dxa"/>
          </w:tcPr>
          <w:p w14:paraId="0256FA96" w14:textId="77777777" w:rsidR="003774C2" w:rsidRDefault="00000000">
            <w:pPr>
              <w:spacing w:after="40"/>
              <w:jc w:val="right"/>
            </w:pPr>
            <w:r>
              <w:t>29</w:t>
            </w:r>
          </w:p>
        </w:tc>
      </w:tr>
      <w:tr w:rsidR="003774C2" w14:paraId="34852EDB" w14:textId="77777777" w:rsidTr="006815CA">
        <w:trPr>
          <w:jc w:val="center"/>
        </w:trPr>
        <w:tc>
          <w:tcPr>
            <w:tcW w:w="6103" w:type="dxa"/>
          </w:tcPr>
          <w:p w14:paraId="415B8C17" w14:textId="77777777" w:rsidR="003774C2" w:rsidRDefault="00000000">
            <w:pPr>
              <w:spacing w:after="40"/>
            </w:pPr>
            <w:r>
              <w:t xml:space="preserve">    4.5 Interactive React Admin Dashboard UI Implementation</w:t>
            </w:r>
          </w:p>
        </w:tc>
        <w:tc>
          <w:tcPr>
            <w:tcW w:w="3473" w:type="dxa"/>
          </w:tcPr>
          <w:p w14:paraId="701A1ADB" w14:textId="77777777" w:rsidR="003774C2" w:rsidRDefault="00000000">
            <w:pPr>
              <w:spacing w:after="40"/>
              <w:jc w:val="right"/>
            </w:pPr>
            <w:r>
              <w:t>31</w:t>
            </w:r>
          </w:p>
        </w:tc>
      </w:tr>
      <w:tr w:rsidR="003774C2" w14:paraId="5F457DFC" w14:textId="77777777" w:rsidTr="006815CA">
        <w:trPr>
          <w:jc w:val="center"/>
        </w:trPr>
        <w:tc>
          <w:tcPr>
            <w:tcW w:w="6103" w:type="dxa"/>
          </w:tcPr>
          <w:p w14:paraId="74636597" w14:textId="77777777" w:rsidR="003774C2" w:rsidRDefault="00000000">
            <w:pPr>
              <w:spacing w:after="40"/>
            </w:pPr>
            <w:r>
              <w:t xml:space="preserve">    4.6 Comparative Discussion and Strategic Policy Recommendations</w:t>
            </w:r>
          </w:p>
        </w:tc>
        <w:tc>
          <w:tcPr>
            <w:tcW w:w="3473" w:type="dxa"/>
          </w:tcPr>
          <w:p w14:paraId="243D507C" w14:textId="77777777" w:rsidR="003774C2" w:rsidRDefault="00000000">
            <w:pPr>
              <w:spacing w:after="40"/>
              <w:jc w:val="right"/>
            </w:pPr>
            <w:r>
              <w:t>33</w:t>
            </w:r>
          </w:p>
        </w:tc>
      </w:tr>
      <w:tr w:rsidR="003774C2" w14:paraId="0F2F4B9B" w14:textId="77777777" w:rsidTr="006815CA">
        <w:trPr>
          <w:jc w:val="center"/>
        </w:trPr>
        <w:tc>
          <w:tcPr>
            <w:tcW w:w="6103" w:type="dxa"/>
          </w:tcPr>
          <w:p w14:paraId="07FF1DB1" w14:textId="77777777" w:rsidR="003774C2" w:rsidRDefault="00000000">
            <w:pPr>
              <w:spacing w:after="40"/>
            </w:pPr>
            <w:r>
              <w:rPr>
                <w:b/>
              </w:rPr>
              <w:t>CHAPTER 5: CONCLUSION AND FUTURE WORK</w:t>
            </w:r>
          </w:p>
        </w:tc>
        <w:tc>
          <w:tcPr>
            <w:tcW w:w="3473" w:type="dxa"/>
          </w:tcPr>
          <w:p w14:paraId="6122CD6A" w14:textId="77777777" w:rsidR="003774C2" w:rsidRDefault="00000000">
            <w:pPr>
              <w:spacing w:after="40"/>
              <w:jc w:val="right"/>
            </w:pPr>
            <w:r>
              <w:rPr>
                <w:b/>
              </w:rPr>
              <w:t>35</w:t>
            </w:r>
          </w:p>
        </w:tc>
      </w:tr>
      <w:tr w:rsidR="003774C2" w14:paraId="7BAADA8F" w14:textId="77777777" w:rsidTr="006815CA">
        <w:trPr>
          <w:jc w:val="center"/>
        </w:trPr>
        <w:tc>
          <w:tcPr>
            <w:tcW w:w="6103" w:type="dxa"/>
          </w:tcPr>
          <w:p w14:paraId="24742299" w14:textId="77777777" w:rsidR="003774C2" w:rsidRDefault="00000000">
            <w:pPr>
              <w:spacing w:after="40"/>
            </w:pPr>
            <w:r>
              <w:t xml:space="preserve">    5.1 Summary of Contributions</w:t>
            </w:r>
          </w:p>
        </w:tc>
        <w:tc>
          <w:tcPr>
            <w:tcW w:w="3473" w:type="dxa"/>
          </w:tcPr>
          <w:p w14:paraId="165FFE48" w14:textId="77777777" w:rsidR="003774C2" w:rsidRDefault="00000000">
            <w:pPr>
              <w:spacing w:after="40"/>
              <w:jc w:val="right"/>
            </w:pPr>
            <w:r>
              <w:t>35</w:t>
            </w:r>
          </w:p>
        </w:tc>
      </w:tr>
      <w:tr w:rsidR="003774C2" w14:paraId="71177BCF" w14:textId="77777777" w:rsidTr="006815CA">
        <w:trPr>
          <w:jc w:val="center"/>
        </w:trPr>
        <w:tc>
          <w:tcPr>
            <w:tcW w:w="6103" w:type="dxa"/>
          </w:tcPr>
          <w:p w14:paraId="648F87F3" w14:textId="77777777" w:rsidR="003774C2" w:rsidRDefault="00000000">
            <w:pPr>
              <w:spacing w:after="40"/>
            </w:pPr>
            <w:r>
              <w:t xml:space="preserve">    5.2 Key Takeaways for Policymakers</w:t>
            </w:r>
          </w:p>
        </w:tc>
        <w:tc>
          <w:tcPr>
            <w:tcW w:w="3473" w:type="dxa"/>
          </w:tcPr>
          <w:p w14:paraId="715F539C" w14:textId="77777777" w:rsidR="003774C2" w:rsidRDefault="00000000">
            <w:pPr>
              <w:spacing w:after="40"/>
              <w:jc w:val="right"/>
            </w:pPr>
            <w:r>
              <w:t>36</w:t>
            </w:r>
          </w:p>
        </w:tc>
      </w:tr>
      <w:tr w:rsidR="003774C2" w14:paraId="34FB25FC" w14:textId="77777777" w:rsidTr="006815CA">
        <w:trPr>
          <w:jc w:val="center"/>
        </w:trPr>
        <w:tc>
          <w:tcPr>
            <w:tcW w:w="6103" w:type="dxa"/>
          </w:tcPr>
          <w:p w14:paraId="2CF5A305" w14:textId="77777777" w:rsidR="003774C2" w:rsidRDefault="00000000">
            <w:pPr>
              <w:spacing w:after="40"/>
            </w:pPr>
            <w:r>
              <w:t xml:space="preserve">    5.3 Limitations of the Current Study</w:t>
            </w:r>
          </w:p>
        </w:tc>
        <w:tc>
          <w:tcPr>
            <w:tcW w:w="3473" w:type="dxa"/>
          </w:tcPr>
          <w:p w14:paraId="667BC32B" w14:textId="77777777" w:rsidR="003774C2" w:rsidRDefault="00000000">
            <w:pPr>
              <w:spacing w:after="40"/>
              <w:jc w:val="right"/>
            </w:pPr>
            <w:r>
              <w:t>36</w:t>
            </w:r>
          </w:p>
        </w:tc>
      </w:tr>
      <w:tr w:rsidR="003774C2" w14:paraId="1C45D170" w14:textId="77777777" w:rsidTr="006815CA">
        <w:trPr>
          <w:jc w:val="center"/>
        </w:trPr>
        <w:tc>
          <w:tcPr>
            <w:tcW w:w="6103" w:type="dxa"/>
          </w:tcPr>
          <w:p w14:paraId="21ECF476" w14:textId="77777777" w:rsidR="003774C2" w:rsidRDefault="00000000">
            <w:pPr>
              <w:spacing w:after="40"/>
            </w:pPr>
            <w:r>
              <w:t xml:space="preserve">    5.4 Future Research Directions</w:t>
            </w:r>
          </w:p>
        </w:tc>
        <w:tc>
          <w:tcPr>
            <w:tcW w:w="3473" w:type="dxa"/>
          </w:tcPr>
          <w:p w14:paraId="1A6B2A63" w14:textId="77777777" w:rsidR="003774C2" w:rsidRDefault="00000000">
            <w:pPr>
              <w:spacing w:after="40"/>
              <w:jc w:val="right"/>
            </w:pPr>
            <w:r>
              <w:t>37</w:t>
            </w:r>
          </w:p>
        </w:tc>
      </w:tr>
      <w:tr w:rsidR="003774C2" w14:paraId="6C768D07" w14:textId="77777777" w:rsidTr="006815CA">
        <w:trPr>
          <w:jc w:val="center"/>
        </w:trPr>
        <w:tc>
          <w:tcPr>
            <w:tcW w:w="6103" w:type="dxa"/>
          </w:tcPr>
          <w:p w14:paraId="3D807561" w14:textId="77777777" w:rsidR="003774C2" w:rsidRDefault="00000000">
            <w:pPr>
              <w:spacing w:after="40"/>
            </w:pPr>
            <w:r>
              <w:rPr>
                <w:b/>
              </w:rPr>
              <w:t>REFERENCES</w:t>
            </w:r>
          </w:p>
        </w:tc>
        <w:tc>
          <w:tcPr>
            <w:tcW w:w="3473" w:type="dxa"/>
          </w:tcPr>
          <w:p w14:paraId="0423CCDA" w14:textId="77777777" w:rsidR="003774C2" w:rsidRDefault="00000000">
            <w:pPr>
              <w:spacing w:after="40"/>
              <w:jc w:val="right"/>
            </w:pPr>
            <w:r>
              <w:rPr>
                <w:b/>
              </w:rPr>
              <w:t>38</w:t>
            </w:r>
          </w:p>
        </w:tc>
      </w:tr>
      <w:tr w:rsidR="003774C2" w14:paraId="5823A282" w14:textId="77777777" w:rsidTr="006815CA">
        <w:trPr>
          <w:jc w:val="center"/>
        </w:trPr>
        <w:tc>
          <w:tcPr>
            <w:tcW w:w="6103" w:type="dxa"/>
          </w:tcPr>
          <w:p w14:paraId="1B0D2A79" w14:textId="77777777" w:rsidR="003774C2" w:rsidRDefault="00000000">
            <w:pPr>
              <w:spacing w:after="40"/>
            </w:pPr>
            <w:r>
              <w:rPr>
                <w:b/>
              </w:rPr>
              <w:t>APPENDIX I: HYPERPARAMETER TUNING &amp; HARDWARE ENVIRONMENT</w:t>
            </w:r>
          </w:p>
        </w:tc>
        <w:tc>
          <w:tcPr>
            <w:tcW w:w="3473" w:type="dxa"/>
          </w:tcPr>
          <w:p w14:paraId="63233135" w14:textId="77777777" w:rsidR="003774C2" w:rsidRDefault="00000000">
            <w:pPr>
              <w:spacing w:after="40"/>
              <w:jc w:val="right"/>
            </w:pPr>
            <w:r>
              <w:rPr>
                <w:b/>
              </w:rPr>
              <w:t>40</w:t>
            </w:r>
          </w:p>
        </w:tc>
      </w:tr>
    </w:tbl>
    <w:p w14:paraId="4FEA1295" w14:textId="77777777" w:rsidR="003774C2" w:rsidRDefault="00000000">
      <w:r>
        <w:br w:type="page"/>
      </w:r>
    </w:p>
    <w:p w14:paraId="61D7B738" w14:textId="77777777" w:rsidR="003774C2" w:rsidRDefault="00000000">
      <w:pPr>
        <w:spacing w:before="360" w:after="280"/>
        <w:jc w:val="center"/>
      </w:pPr>
      <w:r>
        <w:rPr>
          <w:b/>
          <w:color w:val="0F306E"/>
          <w:sz w:val="32"/>
        </w:rPr>
        <w:lastRenderedPageBreak/>
        <w:t>LIST OF FIGURES</w:t>
      </w:r>
    </w:p>
    <w:tbl>
      <w:tblPr>
        <w:tblW w:w="0" w:type="auto"/>
        <w:jc w:val="center"/>
        <w:tblLook w:val="04A0" w:firstRow="1" w:lastRow="0" w:firstColumn="1" w:lastColumn="0" w:noHBand="0" w:noVBand="1"/>
      </w:tblPr>
      <w:tblGrid>
        <w:gridCol w:w="2885"/>
        <w:gridCol w:w="5572"/>
        <w:gridCol w:w="2865"/>
      </w:tblGrid>
      <w:tr w:rsidR="003774C2" w14:paraId="452DDE7A" w14:textId="77777777">
        <w:trPr>
          <w:jc w:val="center"/>
        </w:trPr>
        <w:tc>
          <w:tcPr>
            <w:tcW w:w="1872" w:type="dxa"/>
          </w:tcPr>
          <w:p w14:paraId="2B9CB80F" w14:textId="77777777" w:rsidR="003774C2" w:rsidRDefault="00000000">
            <w:r>
              <w:rPr>
                <w:b/>
              </w:rPr>
              <w:t>Figure No.</w:t>
            </w:r>
          </w:p>
        </w:tc>
        <w:tc>
          <w:tcPr>
            <w:tcW w:w="6048" w:type="dxa"/>
          </w:tcPr>
          <w:p w14:paraId="364DF3B0" w14:textId="77777777" w:rsidR="003774C2" w:rsidRDefault="00000000">
            <w:r>
              <w:rPr>
                <w:b/>
              </w:rPr>
              <w:t>Figure Title / Description</w:t>
            </w:r>
          </w:p>
        </w:tc>
        <w:tc>
          <w:tcPr>
            <w:tcW w:w="1440" w:type="dxa"/>
          </w:tcPr>
          <w:p w14:paraId="678A716A" w14:textId="77777777" w:rsidR="003774C2" w:rsidRDefault="00000000">
            <w:r>
              <w:rPr>
                <w:b/>
              </w:rPr>
              <w:t>Page No.</w:t>
            </w:r>
          </w:p>
        </w:tc>
      </w:tr>
      <w:tr w:rsidR="003774C2" w14:paraId="0385BD6B" w14:textId="77777777">
        <w:trPr>
          <w:jc w:val="center"/>
        </w:trPr>
        <w:tc>
          <w:tcPr>
            <w:tcW w:w="3120" w:type="dxa"/>
          </w:tcPr>
          <w:p w14:paraId="0BBCC88A" w14:textId="77777777" w:rsidR="003774C2" w:rsidRDefault="00000000">
            <w:r>
              <w:t>Figure 1.1</w:t>
            </w:r>
          </w:p>
        </w:tc>
        <w:tc>
          <w:tcPr>
            <w:tcW w:w="3120" w:type="dxa"/>
          </w:tcPr>
          <w:p w14:paraId="6465FDEB" w14:textId="77777777" w:rsidR="003774C2" w:rsidRDefault="00000000">
            <w:r>
              <w:t>High-Level Architecture of the Migration Risk Intelligence System</w:t>
            </w:r>
          </w:p>
        </w:tc>
        <w:tc>
          <w:tcPr>
            <w:tcW w:w="3120" w:type="dxa"/>
          </w:tcPr>
          <w:p w14:paraId="37CB0B85" w14:textId="77777777" w:rsidR="003774C2" w:rsidRDefault="00000000">
            <w:pPr>
              <w:jc w:val="right"/>
            </w:pPr>
            <w:r>
              <w:t>4</w:t>
            </w:r>
          </w:p>
        </w:tc>
      </w:tr>
      <w:tr w:rsidR="003774C2" w14:paraId="2EFFA063" w14:textId="77777777">
        <w:trPr>
          <w:jc w:val="center"/>
        </w:trPr>
        <w:tc>
          <w:tcPr>
            <w:tcW w:w="3120" w:type="dxa"/>
          </w:tcPr>
          <w:p w14:paraId="3CC06C04" w14:textId="77777777" w:rsidR="003774C2" w:rsidRDefault="00000000">
            <w:r>
              <w:t>Figure 2.1</w:t>
            </w:r>
          </w:p>
        </w:tc>
        <w:tc>
          <w:tcPr>
            <w:tcW w:w="3120" w:type="dxa"/>
          </w:tcPr>
          <w:p w14:paraId="3CFCAD7F" w14:textId="77777777" w:rsidR="003774C2" w:rsidRDefault="00000000">
            <w:r>
              <w:t>Conceptual Progression of Spatial Mobility &amp; Macro-Demographic Modeling</w:t>
            </w:r>
          </w:p>
        </w:tc>
        <w:tc>
          <w:tcPr>
            <w:tcW w:w="3120" w:type="dxa"/>
          </w:tcPr>
          <w:p w14:paraId="4498A506" w14:textId="77777777" w:rsidR="003774C2" w:rsidRDefault="00000000">
            <w:pPr>
              <w:jc w:val="right"/>
            </w:pPr>
            <w:r>
              <w:t>7</w:t>
            </w:r>
          </w:p>
        </w:tc>
      </w:tr>
      <w:tr w:rsidR="003774C2" w14:paraId="3AF212DD" w14:textId="77777777">
        <w:trPr>
          <w:jc w:val="center"/>
        </w:trPr>
        <w:tc>
          <w:tcPr>
            <w:tcW w:w="3120" w:type="dxa"/>
          </w:tcPr>
          <w:p w14:paraId="1FB8BB33" w14:textId="77777777" w:rsidR="003774C2" w:rsidRDefault="00000000">
            <w:r>
              <w:t>Figure 3.1</w:t>
            </w:r>
          </w:p>
        </w:tc>
        <w:tc>
          <w:tcPr>
            <w:tcW w:w="3120" w:type="dxa"/>
          </w:tcPr>
          <w:p w14:paraId="0CF26713" w14:textId="77777777" w:rsidR="003774C2" w:rsidRDefault="00000000">
            <w:r>
              <w:t>End-to-End ETL, Feature Engineering, and Model Training Pipeline</w:t>
            </w:r>
          </w:p>
        </w:tc>
        <w:tc>
          <w:tcPr>
            <w:tcW w:w="3120" w:type="dxa"/>
          </w:tcPr>
          <w:p w14:paraId="4A690BAF" w14:textId="77777777" w:rsidR="003774C2" w:rsidRDefault="00000000">
            <w:pPr>
              <w:jc w:val="right"/>
            </w:pPr>
            <w:r>
              <w:t>16</w:t>
            </w:r>
          </w:p>
        </w:tc>
      </w:tr>
      <w:tr w:rsidR="003774C2" w14:paraId="3F65E952" w14:textId="77777777">
        <w:trPr>
          <w:jc w:val="center"/>
        </w:trPr>
        <w:tc>
          <w:tcPr>
            <w:tcW w:w="3120" w:type="dxa"/>
          </w:tcPr>
          <w:p w14:paraId="73CA7D67" w14:textId="77777777" w:rsidR="003774C2" w:rsidRDefault="00000000">
            <w:r>
              <w:t>Figure 3.2</w:t>
            </w:r>
          </w:p>
        </w:tc>
        <w:tc>
          <w:tcPr>
            <w:tcW w:w="3120" w:type="dxa"/>
          </w:tcPr>
          <w:p w14:paraId="3A39BF72" w14:textId="77777777" w:rsidR="003774C2" w:rsidRDefault="00000000">
            <w:r>
              <w:t>Mathematical Formulation and Dynamics of the Migration Pressure Index</w:t>
            </w:r>
          </w:p>
        </w:tc>
        <w:tc>
          <w:tcPr>
            <w:tcW w:w="3120" w:type="dxa"/>
          </w:tcPr>
          <w:p w14:paraId="547248F6" w14:textId="77777777" w:rsidR="003774C2" w:rsidRDefault="00000000">
            <w:pPr>
              <w:jc w:val="right"/>
            </w:pPr>
            <w:r>
              <w:t>18</w:t>
            </w:r>
          </w:p>
        </w:tc>
      </w:tr>
      <w:tr w:rsidR="003774C2" w14:paraId="573F6EC8" w14:textId="77777777">
        <w:trPr>
          <w:jc w:val="center"/>
        </w:trPr>
        <w:tc>
          <w:tcPr>
            <w:tcW w:w="3120" w:type="dxa"/>
          </w:tcPr>
          <w:p w14:paraId="43B4D478" w14:textId="77777777" w:rsidR="003774C2" w:rsidRDefault="00000000">
            <w:r>
              <w:t>Figure 4.1</w:t>
            </w:r>
          </w:p>
        </w:tc>
        <w:tc>
          <w:tcPr>
            <w:tcW w:w="3120" w:type="dxa"/>
          </w:tcPr>
          <w:p w14:paraId="0B47C5BB" w14:textId="77777777" w:rsidR="003774C2" w:rsidRDefault="00000000">
            <w:r>
              <w:t>Receiver Operating Characteristic (ROC) Curve and Confusion Matrix</w:t>
            </w:r>
          </w:p>
        </w:tc>
        <w:tc>
          <w:tcPr>
            <w:tcW w:w="3120" w:type="dxa"/>
          </w:tcPr>
          <w:p w14:paraId="5B794B02" w14:textId="77777777" w:rsidR="003774C2" w:rsidRDefault="00000000">
            <w:pPr>
              <w:jc w:val="right"/>
            </w:pPr>
            <w:r>
              <w:t>27</w:t>
            </w:r>
          </w:p>
        </w:tc>
      </w:tr>
      <w:tr w:rsidR="003774C2" w14:paraId="1EDB0B77" w14:textId="77777777">
        <w:trPr>
          <w:jc w:val="center"/>
        </w:trPr>
        <w:tc>
          <w:tcPr>
            <w:tcW w:w="3120" w:type="dxa"/>
          </w:tcPr>
          <w:p w14:paraId="3789CD71" w14:textId="77777777" w:rsidR="003774C2" w:rsidRDefault="00000000">
            <w:r>
              <w:t>Figure 4.2</w:t>
            </w:r>
          </w:p>
        </w:tc>
        <w:tc>
          <w:tcPr>
            <w:tcW w:w="3120" w:type="dxa"/>
          </w:tcPr>
          <w:p w14:paraId="3C9B3946" w14:textId="77777777" w:rsidR="003774C2" w:rsidRDefault="00000000">
            <w:r>
              <w:t>Model Feature Importance and Demographic Odds-Ratio Weights</w:t>
            </w:r>
          </w:p>
        </w:tc>
        <w:tc>
          <w:tcPr>
            <w:tcW w:w="3120" w:type="dxa"/>
          </w:tcPr>
          <w:p w14:paraId="29F10860" w14:textId="77777777" w:rsidR="003774C2" w:rsidRDefault="00000000">
            <w:pPr>
              <w:jc w:val="right"/>
            </w:pPr>
            <w:r>
              <w:t>28</w:t>
            </w:r>
          </w:p>
        </w:tc>
      </w:tr>
      <w:tr w:rsidR="003774C2" w14:paraId="5DA765BF" w14:textId="77777777">
        <w:trPr>
          <w:jc w:val="center"/>
        </w:trPr>
        <w:tc>
          <w:tcPr>
            <w:tcW w:w="3120" w:type="dxa"/>
          </w:tcPr>
          <w:p w14:paraId="54539DBC" w14:textId="77777777" w:rsidR="003774C2" w:rsidRDefault="00000000">
            <w:r>
              <w:t>Figure 4.3</w:t>
            </w:r>
          </w:p>
        </w:tc>
        <w:tc>
          <w:tcPr>
            <w:tcW w:w="3120" w:type="dxa"/>
          </w:tcPr>
          <w:p w14:paraId="26D71668" w14:textId="77777777" w:rsidR="003774C2" w:rsidRDefault="00000000">
            <w:r>
              <w:t>51-Jurisdiction Longitudinal Migration Pressure Heatmap (2010–2019)</w:t>
            </w:r>
          </w:p>
        </w:tc>
        <w:tc>
          <w:tcPr>
            <w:tcW w:w="3120" w:type="dxa"/>
          </w:tcPr>
          <w:p w14:paraId="248356D8" w14:textId="77777777" w:rsidR="003774C2" w:rsidRDefault="00000000">
            <w:pPr>
              <w:jc w:val="right"/>
            </w:pPr>
            <w:r>
              <w:t>29</w:t>
            </w:r>
          </w:p>
        </w:tc>
      </w:tr>
      <w:tr w:rsidR="003774C2" w14:paraId="172BC1A6" w14:textId="77777777">
        <w:trPr>
          <w:jc w:val="center"/>
        </w:trPr>
        <w:tc>
          <w:tcPr>
            <w:tcW w:w="3120" w:type="dxa"/>
          </w:tcPr>
          <w:p w14:paraId="79F742F3" w14:textId="77777777" w:rsidR="003774C2" w:rsidRDefault="00000000">
            <w:r>
              <w:t>Figure 4.4</w:t>
            </w:r>
          </w:p>
        </w:tc>
        <w:tc>
          <w:tcPr>
            <w:tcW w:w="3120" w:type="dxa"/>
          </w:tcPr>
          <w:p w14:paraId="1DD05A11" w14:textId="77777777" w:rsidR="003774C2" w:rsidRDefault="00000000">
            <w:r>
              <w:t>Demographic Factor Breakdown: Mobility Rates across Age and Income Strata</w:t>
            </w:r>
          </w:p>
        </w:tc>
        <w:tc>
          <w:tcPr>
            <w:tcW w:w="3120" w:type="dxa"/>
          </w:tcPr>
          <w:p w14:paraId="5D1C0655" w14:textId="77777777" w:rsidR="003774C2" w:rsidRDefault="00000000">
            <w:pPr>
              <w:jc w:val="right"/>
            </w:pPr>
            <w:r>
              <w:t>26</w:t>
            </w:r>
          </w:p>
        </w:tc>
      </w:tr>
      <w:tr w:rsidR="003774C2" w14:paraId="4A7372CA" w14:textId="77777777">
        <w:trPr>
          <w:jc w:val="center"/>
        </w:trPr>
        <w:tc>
          <w:tcPr>
            <w:tcW w:w="3120" w:type="dxa"/>
          </w:tcPr>
          <w:p w14:paraId="04B0BDD2" w14:textId="77777777" w:rsidR="003774C2" w:rsidRDefault="00000000">
            <w:r>
              <w:t>Figure 4.5</w:t>
            </w:r>
          </w:p>
        </w:tc>
        <w:tc>
          <w:tcPr>
            <w:tcW w:w="3120" w:type="dxa"/>
          </w:tcPr>
          <w:p w14:paraId="0B6EE3D4" w14:textId="77777777" w:rsidR="003774C2" w:rsidRDefault="00000000">
            <w:r>
              <w:t>Top Outflow Jurisdictions vs. Inflow Magnet States Risk Benchmark</w:t>
            </w:r>
          </w:p>
        </w:tc>
        <w:tc>
          <w:tcPr>
            <w:tcW w:w="3120" w:type="dxa"/>
          </w:tcPr>
          <w:p w14:paraId="3826FAE2" w14:textId="77777777" w:rsidR="003774C2" w:rsidRDefault="00000000">
            <w:pPr>
              <w:jc w:val="right"/>
            </w:pPr>
            <w:r>
              <w:t>30</w:t>
            </w:r>
          </w:p>
        </w:tc>
      </w:tr>
      <w:tr w:rsidR="003774C2" w14:paraId="33A3EE6F" w14:textId="77777777">
        <w:trPr>
          <w:jc w:val="center"/>
        </w:trPr>
        <w:tc>
          <w:tcPr>
            <w:tcW w:w="3120" w:type="dxa"/>
          </w:tcPr>
          <w:p w14:paraId="4A077C2F" w14:textId="77777777" w:rsidR="003774C2" w:rsidRDefault="00000000">
            <w:r>
              <w:t>Figure 4.6</w:t>
            </w:r>
          </w:p>
        </w:tc>
        <w:tc>
          <w:tcPr>
            <w:tcW w:w="3120" w:type="dxa"/>
          </w:tcPr>
          <w:p w14:paraId="1C33F7E2" w14:textId="77777777" w:rsidR="003774C2" w:rsidRDefault="00000000">
            <w:r>
              <w:t>Commercial React Admin Dashboard UI (Dual Dark/Light Theme &amp; AI Copilot)</w:t>
            </w:r>
          </w:p>
        </w:tc>
        <w:tc>
          <w:tcPr>
            <w:tcW w:w="3120" w:type="dxa"/>
          </w:tcPr>
          <w:p w14:paraId="10B966A8" w14:textId="77777777" w:rsidR="003774C2" w:rsidRDefault="00000000">
            <w:pPr>
              <w:jc w:val="right"/>
            </w:pPr>
            <w:r>
              <w:t>32</w:t>
            </w:r>
          </w:p>
        </w:tc>
      </w:tr>
    </w:tbl>
    <w:p w14:paraId="32FEE307" w14:textId="77777777" w:rsidR="003774C2" w:rsidRDefault="00000000">
      <w:r>
        <w:br w:type="page"/>
      </w:r>
    </w:p>
    <w:p w14:paraId="7758610D" w14:textId="77777777" w:rsidR="003774C2" w:rsidRDefault="00000000">
      <w:pPr>
        <w:spacing w:before="360" w:after="280"/>
        <w:jc w:val="center"/>
      </w:pPr>
      <w:r>
        <w:rPr>
          <w:b/>
          <w:color w:val="0F306E"/>
          <w:sz w:val="32"/>
        </w:rPr>
        <w:lastRenderedPageBreak/>
        <w:t>LIST OF TABLES</w:t>
      </w:r>
    </w:p>
    <w:tbl>
      <w:tblPr>
        <w:tblW w:w="0" w:type="auto"/>
        <w:jc w:val="center"/>
        <w:tblLook w:val="04A0" w:firstRow="1" w:lastRow="0" w:firstColumn="1" w:lastColumn="0" w:noHBand="0" w:noVBand="1"/>
      </w:tblPr>
      <w:tblGrid>
        <w:gridCol w:w="2433"/>
        <w:gridCol w:w="4738"/>
        <w:gridCol w:w="2405"/>
      </w:tblGrid>
      <w:tr w:rsidR="003774C2" w14:paraId="5D5A9CD3" w14:textId="77777777" w:rsidTr="006815CA">
        <w:trPr>
          <w:jc w:val="center"/>
        </w:trPr>
        <w:tc>
          <w:tcPr>
            <w:tcW w:w="2433" w:type="dxa"/>
          </w:tcPr>
          <w:p w14:paraId="149023F0" w14:textId="77777777" w:rsidR="003774C2" w:rsidRDefault="00000000">
            <w:r>
              <w:rPr>
                <w:b/>
              </w:rPr>
              <w:t>Table No.</w:t>
            </w:r>
          </w:p>
        </w:tc>
        <w:tc>
          <w:tcPr>
            <w:tcW w:w="4738" w:type="dxa"/>
          </w:tcPr>
          <w:p w14:paraId="78BF7D89" w14:textId="77777777" w:rsidR="003774C2" w:rsidRDefault="00000000">
            <w:r>
              <w:rPr>
                <w:b/>
              </w:rPr>
              <w:t>Table Title / Description</w:t>
            </w:r>
          </w:p>
        </w:tc>
        <w:tc>
          <w:tcPr>
            <w:tcW w:w="2405" w:type="dxa"/>
          </w:tcPr>
          <w:p w14:paraId="653FD852" w14:textId="77777777" w:rsidR="003774C2" w:rsidRDefault="00000000">
            <w:r>
              <w:rPr>
                <w:b/>
              </w:rPr>
              <w:t>Page No.</w:t>
            </w:r>
          </w:p>
        </w:tc>
      </w:tr>
      <w:tr w:rsidR="003774C2" w14:paraId="129B79EB" w14:textId="77777777" w:rsidTr="006815CA">
        <w:trPr>
          <w:jc w:val="center"/>
        </w:trPr>
        <w:tc>
          <w:tcPr>
            <w:tcW w:w="2433" w:type="dxa"/>
          </w:tcPr>
          <w:p w14:paraId="783F3F16" w14:textId="77777777" w:rsidR="003774C2" w:rsidRDefault="00000000">
            <w:r>
              <w:t>Table 2.1</w:t>
            </w:r>
          </w:p>
        </w:tc>
        <w:tc>
          <w:tcPr>
            <w:tcW w:w="4738" w:type="dxa"/>
          </w:tcPr>
          <w:p w14:paraId="2D643989" w14:textId="77777777" w:rsidR="003774C2" w:rsidRDefault="00000000">
            <w:r>
              <w:t>Comparative Literature Review of Spatial Migration Models and Limitations</w:t>
            </w:r>
          </w:p>
        </w:tc>
        <w:tc>
          <w:tcPr>
            <w:tcW w:w="2405" w:type="dxa"/>
          </w:tcPr>
          <w:p w14:paraId="79001110" w14:textId="77777777" w:rsidR="003774C2" w:rsidRDefault="00000000">
            <w:pPr>
              <w:jc w:val="right"/>
            </w:pPr>
            <w:r>
              <w:t>13</w:t>
            </w:r>
          </w:p>
        </w:tc>
      </w:tr>
      <w:tr w:rsidR="003774C2" w14:paraId="7F89DC16" w14:textId="77777777" w:rsidTr="006815CA">
        <w:trPr>
          <w:jc w:val="center"/>
        </w:trPr>
        <w:tc>
          <w:tcPr>
            <w:tcW w:w="2433" w:type="dxa"/>
          </w:tcPr>
          <w:p w14:paraId="71A0DD72" w14:textId="77777777" w:rsidR="003774C2" w:rsidRDefault="00000000">
            <w:r>
              <w:t>Table 3.1</w:t>
            </w:r>
          </w:p>
        </w:tc>
        <w:tc>
          <w:tcPr>
            <w:tcW w:w="4738" w:type="dxa"/>
          </w:tcPr>
          <w:p w14:paraId="435C5DA4" w14:textId="77777777" w:rsidR="003774C2" w:rsidRDefault="00000000">
            <w:r>
              <w:t>Authoritative Federal Demographic Data Sources and Acquisition Parameters</w:t>
            </w:r>
          </w:p>
        </w:tc>
        <w:tc>
          <w:tcPr>
            <w:tcW w:w="2405" w:type="dxa"/>
          </w:tcPr>
          <w:p w14:paraId="498146E7" w14:textId="77777777" w:rsidR="003774C2" w:rsidRDefault="00000000">
            <w:pPr>
              <w:jc w:val="right"/>
            </w:pPr>
            <w:r>
              <w:t>17</w:t>
            </w:r>
          </w:p>
        </w:tc>
      </w:tr>
      <w:tr w:rsidR="003774C2" w14:paraId="1BD3D360" w14:textId="77777777" w:rsidTr="006815CA">
        <w:trPr>
          <w:jc w:val="center"/>
        </w:trPr>
        <w:tc>
          <w:tcPr>
            <w:tcW w:w="2433" w:type="dxa"/>
          </w:tcPr>
          <w:p w14:paraId="66CD45D4" w14:textId="77777777" w:rsidR="003774C2" w:rsidRDefault="00000000">
            <w:r>
              <w:t>Table 3.2</w:t>
            </w:r>
          </w:p>
        </w:tc>
        <w:tc>
          <w:tcPr>
            <w:tcW w:w="4738" w:type="dxa"/>
          </w:tcPr>
          <w:p w14:paraId="6BFCD05F" w14:textId="77777777" w:rsidR="003774C2" w:rsidRDefault="00000000">
            <w:r>
              <w:t>Description of Selected IPUMS CPS Microdata Survey Variables</w:t>
            </w:r>
          </w:p>
        </w:tc>
        <w:tc>
          <w:tcPr>
            <w:tcW w:w="2405" w:type="dxa"/>
          </w:tcPr>
          <w:p w14:paraId="5CD2BE1A" w14:textId="77777777" w:rsidR="003774C2" w:rsidRDefault="00000000">
            <w:pPr>
              <w:jc w:val="right"/>
            </w:pPr>
            <w:r>
              <w:t>17</w:t>
            </w:r>
          </w:p>
        </w:tc>
      </w:tr>
      <w:tr w:rsidR="003774C2" w14:paraId="1056E7AB" w14:textId="77777777" w:rsidTr="006815CA">
        <w:trPr>
          <w:jc w:val="center"/>
        </w:trPr>
        <w:tc>
          <w:tcPr>
            <w:tcW w:w="2433" w:type="dxa"/>
          </w:tcPr>
          <w:p w14:paraId="2860BAE1" w14:textId="77777777" w:rsidR="003774C2" w:rsidRDefault="00000000">
            <w:r>
              <w:t>Table 3.3</w:t>
            </w:r>
          </w:p>
        </w:tc>
        <w:tc>
          <w:tcPr>
            <w:tcW w:w="4738" w:type="dxa"/>
          </w:tcPr>
          <w:p w14:paraId="21EE1BA3" w14:textId="77777777" w:rsidR="003774C2" w:rsidRDefault="00000000">
            <w:r>
              <w:t>Mathematical Formulation of Evaluated Machine Learning Performance Metrics</w:t>
            </w:r>
          </w:p>
        </w:tc>
        <w:tc>
          <w:tcPr>
            <w:tcW w:w="2405" w:type="dxa"/>
          </w:tcPr>
          <w:p w14:paraId="46A70425" w14:textId="77777777" w:rsidR="003774C2" w:rsidRDefault="00000000">
            <w:pPr>
              <w:jc w:val="right"/>
            </w:pPr>
            <w:r>
              <w:t>22</w:t>
            </w:r>
          </w:p>
        </w:tc>
      </w:tr>
      <w:tr w:rsidR="003774C2" w14:paraId="6E4C1132" w14:textId="77777777" w:rsidTr="006815CA">
        <w:trPr>
          <w:jc w:val="center"/>
        </w:trPr>
        <w:tc>
          <w:tcPr>
            <w:tcW w:w="2433" w:type="dxa"/>
          </w:tcPr>
          <w:p w14:paraId="710257FF" w14:textId="77777777" w:rsidR="003774C2" w:rsidRDefault="00000000">
            <w:r>
              <w:t>Table 4.1</w:t>
            </w:r>
          </w:p>
        </w:tc>
        <w:tc>
          <w:tcPr>
            <w:tcW w:w="4738" w:type="dxa"/>
          </w:tcPr>
          <w:p w14:paraId="01F6B96B" w14:textId="77777777" w:rsidR="003774C2" w:rsidRDefault="00000000">
            <w:r>
              <w:t>Exploratory Summary Statistics for Unified Adult Cohort (2010–2019)</w:t>
            </w:r>
          </w:p>
        </w:tc>
        <w:tc>
          <w:tcPr>
            <w:tcW w:w="2405" w:type="dxa"/>
          </w:tcPr>
          <w:p w14:paraId="7133E103" w14:textId="77777777" w:rsidR="003774C2" w:rsidRDefault="00000000">
            <w:pPr>
              <w:jc w:val="right"/>
            </w:pPr>
            <w:r>
              <w:t>24</w:t>
            </w:r>
          </w:p>
        </w:tc>
      </w:tr>
      <w:tr w:rsidR="003774C2" w14:paraId="32328F16" w14:textId="77777777" w:rsidTr="006815CA">
        <w:trPr>
          <w:jc w:val="center"/>
        </w:trPr>
        <w:tc>
          <w:tcPr>
            <w:tcW w:w="2433" w:type="dxa"/>
          </w:tcPr>
          <w:p w14:paraId="773CABAA" w14:textId="77777777" w:rsidR="003774C2" w:rsidRDefault="00000000">
            <w:r>
              <w:t>Table 4.2</w:t>
            </w:r>
          </w:p>
        </w:tc>
        <w:tc>
          <w:tcPr>
            <w:tcW w:w="4738" w:type="dxa"/>
          </w:tcPr>
          <w:p w14:paraId="6D928660" w14:textId="77777777" w:rsidR="003774C2" w:rsidRDefault="00000000">
            <w:r>
              <w:t>Top 10 High-Risk Outflow States vs. Top 10 Inflow Retention Hubs</w:t>
            </w:r>
          </w:p>
        </w:tc>
        <w:tc>
          <w:tcPr>
            <w:tcW w:w="2405" w:type="dxa"/>
          </w:tcPr>
          <w:p w14:paraId="293A0730" w14:textId="77777777" w:rsidR="003774C2" w:rsidRDefault="00000000">
            <w:pPr>
              <w:jc w:val="right"/>
            </w:pPr>
            <w:r>
              <w:t>30</w:t>
            </w:r>
          </w:p>
        </w:tc>
      </w:tr>
      <w:tr w:rsidR="003774C2" w14:paraId="0E26CC3E" w14:textId="77777777" w:rsidTr="006815CA">
        <w:trPr>
          <w:jc w:val="center"/>
        </w:trPr>
        <w:tc>
          <w:tcPr>
            <w:tcW w:w="2433" w:type="dxa"/>
          </w:tcPr>
          <w:p w14:paraId="58A7FFE1" w14:textId="77777777" w:rsidR="003774C2" w:rsidRDefault="00000000">
            <w:r>
              <w:t>Table 4.3</w:t>
            </w:r>
          </w:p>
        </w:tc>
        <w:tc>
          <w:tcPr>
            <w:tcW w:w="4738" w:type="dxa"/>
          </w:tcPr>
          <w:p w14:paraId="4010401E" w14:textId="77777777" w:rsidR="003774C2" w:rsidRDefault="00000000">
            <w:r>
              <w:t>Model Performance Scorecard on Temporal Holdout (2018–2019)</w:t>
            </w:r>
          </w:p>
        </w:tc>
        <w:tc>
          <w:tcPr>
            <w:tcW w:w="2405" w:type="dxa"/>
          </w:tcPr>
          <w:p w14:paraId="4A788F85" w14:textId="77777777" w:rsidR="003774C2" w:rsidRDefault="00000000">
            <w:pPr>
              <w:jc w:val="right"/>
            </w:pPr>
            <w:r>
              <w:t>28</w:t>
            </w:r>
          </w:p>
        </w:tc>
      </w:tr>
      <w:tr w:rsidR="003774C2" w14:paraId="63800DFC" w14:textId="77777777" w:rsidTr="006815CA">
        <w:trPr>
          <w:jc w:val="center"/>
        </w:trPr>
        <w:tc>
          <w:tcPr>
            <w:tcW w:w="2433" w:type="dxa"/>
          </w:tcPr>
          <w:p w14:paraId="017621B9" w14:textId="77777777" w:rsidR="003774C2" w:rsidRDefault="00000000">
            <w:r>
              <w:t>Table 4.4</w:t>
            </w:r>
          </w:p>
        </w:tc>
        <w:tc>
          <w:tcPr>
            <w:tcW w:w="4738" w:type="dxa"/>
          </w:tcPr>
          <w:p w14:paraId="2BF8565A" w14:textId="77777777" w:rsidR="003774C2" w:rsidRDefault="00000000">
            <w:r>
              <w:t>5-Fold Stratified Cross-Validation Generalization Stability Scorecard</w:t>
            </w:r>
          </w:p>
        </w:tc>
        <w:tc>
          <w:tcPr>
            <w:tcW w:w="2405" w:type="dxa"/>
          </w:tcPr>
          <w:p w14:paraId="7115919C" w14:textId="77777777" w:rsidR="003774C2" w:rsidRDefault="00000000">
            <w:pPr>
              <w:jc w:val="right"/>
            </w:pPr>
            <w:r>
              <w:t>28</w:t>
            </w:r>
          </w:p>
        </w:tc>
      </w:tr>
      <w:tr w:rsidR="003774C2" w14:paraId="5C587DEE" w14:textId="77777777" w:rsidTr="006815CA">
        <w:trPr>
          <w:jc w:val="center"/>
        </w:trPr>
        <w:tc>
          <w:tcPr>
            <w:tcW w:w="2433" w:type="dxa"/>
          </w:tcPr>
          <w:p w14:paraId="42A56BF7" w14:textId="77777777" w:rsidR="003774C2" w:rsidRDefault="00000000">
            <w:r>
              <w:t>Table 4.5</w:t>
            </w:r>
          </w:p>
        </w:tc>
        <w:tc>
          <w:tcPr>
            <w:tcW w:w="4738" w:type="dxa"/>
          </w:tcPr>
          <w:p w14:paraId="5F2BC064" w14:textId="77777777" w:rsidR="003774C2" w:rsidRDefault="00000000">
            <w:r>
              <w:t>Demographic Subgroup Parity and Algorithmic Fairness Audit</w:t>
            </w:r>
          </w:p>
        </w:tc>
        <w:tc>
          <w:tcPr>
            <w:tcW w:w="2405" w:type="dxa"/>
          </w:tcPr>
          <w:p w14:paraId="2C80981E" w14:textId="77777777" w:rsidR="003774C2" w:rsidRDefault="00000000">
            <w:pPr>
              <w:jc w:val="right"/>
            </w:pPr>
            <w:r>
              <w:t>29</w:t>
            </w:r>
          </w:p>
        </w:tc>
      </w:tr>
    </w:tbl>
    <w:p w14:paraId="46D72676" w14:textId="77777777" w:rsidR="003774C2" w:rsidRDefault="00000000">
      <w:r>
        <w:br w:type="page"/>
      </w:r>
    </w:p>
    <w:p w14:paraId="46EB53EF" w14:textId="77777777" w:rsidR="003774C2" w:rsidRDefault="00000000">
      <w:pPr>
        <w:spacing w:before="360" w:after="280"/>
        <w:jc w:val="center"/>
      </w:pPr>
      <w:r>
        <w:rPr>
          <w:b/>
          <w:color w:val="0F306E"/>
          <w:sz w:val="32"/>
        </w:rPr>
        <w:lastRenderedPageBreak/>
        <w:t>LIST OF ABBREVIATIONS</w:t>
      </w:r>
    </w:p>
    <w:tbl>
      <w:tblPr>
        <w:tblW w:w="0" w:type="auto"/>
        <w:jc w:val="center"/>
        <w:tblLook w:val="04A0" w:firstRow="1" w:lastRow="0" w:firstColumn="1" w:lastColumn="0" w:noHBand="0" w:noVBand="1"/>
      </w:tblPr>
      <w:tblGrid>
        <w:gridCol w:w="4633"/>
        <w:gridCol w:w="6689"/>
      </w:tblGrid>
      <w:tr w:rsidR="003774C2" w14:paraId="0DAABDA3" w14:textId="77777777">
        <w:trPr>
          <w:jc w:val="center"/>
        </w:trPr>
        <w:tc>
          <w:tcPr>
            <w:tcW w:w="2592" w:type="dxa"/>
          </w:tcPr>
          <w:p w14:paraId="4CFFD436" w14:textId="77777777" w:rsidR="003774C2" w:rsidRDefault="00000000">
            <w:r>
              <w:rPr>
                <w:b/>
              </w:rPr>
              <w:t>Abbreviation</w:t>
            </w:r>
          </w:p>
        </w:tc>
        <w:tc>
          <w:tcPr>
            <w:tcW w:w="6768" w:type="dxa"/>
          </w:tcPr>
          <w:p w14:paraId="0D7CF409" w14:textId="77777777" w:rsidR="003774C2" w:rsidRDefault="00000000">
            <w:r>
              <w:rPr>
                <w:b/>
              </w:rPr>
              <w:t>Full Term / Description</w:t>
            </w:r>
          </w:p>
        </w:tc>
      </w:tr>
      <w:tr w:rsidR="003774C2" w14:paraId="4D4ACA35" w14:textId="77777777">
        <w:trPr>
          <w:jc w:val="center"/>
        </w:trPr>
        <w:tc>
          <w:tcPr>
            <w:tcW w:w="4680" w:type="dxa"/>
          </w:tcPr>
          <w:p w14:paraId="6A39CAD0" w14:textId="77777777" w:rsidR="003774C2" w:rsidRDefault="00000000">
            <w:r>
              <w:rPr>
                <w:b/>
              </w:rPr>
              <w:t>ACS</w:t>
            </w:r>
          </w:p>
        </w:tc>
        <w:tc>
          <w:tcPr>
            <w:tcW w:w="4680" w:type="dxa"/>
          </w:tcPr>
          <w:p w14:paraId="46267B08" w14:textId="77777777" w:rsidR="003774C2" w:rsidRDefault="00000000">
            <w:r>
              <w:t>American Community Survey (U.S. Census Bureau)</w:t>
            </w:r>
          </w:p>
        </w:tc>
      </w:tr>
      <w:tr w:rsidR="003774C2" w14:paraId="6A459576" w14:textId="77777777">
        <w:trPr>
          <w:jc w:val="center"/>
        </w:trPr>
        <w:tc>
          <w:tcPr>
            <w:tcW w:w="4680" w:type="dxa"/>
          </w:tcPr>
          <w:p w14:paraId="493C2719" w14:textId="77777777" w:rsidR="003774C2" w:rsidRDefault="00000000">
            <w:r>
              <w:rPr>
                <w:b/>
              </w:rPr>
              <w:t>AI</w:t>
            </w:r>
          </w:p>
        </w:tc>
        <w:tc>
          <w:tcPr>
            <w:tcW w:w="4680" w:type="dxa"/>
          </w:tcPr>
          <w:p w14:paraId="23B4CDBD" w14:textId="77777777" w:rsidR="003774C2" w:rsidRDefault="00000000">
            <w:r>
              <w:t>Artificial Intelligence</w:t>
            </w:r>
          </w:p>
        </w:tc>
      </w:tr>
      <w:tr w:rsidR="003774C2" w14:paraId="798A6BB4" w14:textId="77777777">
        <w:trPr>
          <w:jc w:val="center"/>
        </w:trPr>
        <w:tc>
          <w:tcPr>
            <w:tcW w:w="4680" w:type="dxa"/>
          </w:tcPr>
          <w:p w14:paraId="0A83CCDA" w14:textId="77777777" w:rsidR="003774C2" w:rsidRDefault="00000000">
            <w:r>
              <w:rPr>
                <w:b/>
              </w:rPr>
              <w:t>AICTE</w:t>
            </w:r>
          </w:p>
        </w:tc>
        <w:tc>
          <w:tcPr>
            <w:tcW w:w="4680" w:type="dxa"/>
          </w:tcPr>
          <w:p w14:paraId="7D5679C5" w14:textId="77777777" w:rsidR="003774C2" w:rsidRDefault="00000000">
            <w:r>
              <w:t>All India Council for Technical Education</w:t>
            </w:r>
          </w:p>
        </w:tc>
      </w:tr>
      <w:tr w:rsidR="003774C2" w14:paraId="17CF4459" w14:textId="77777777">
        <w:trPr>
          <w:jc w:val="center"/>
        </w:trPr>
        <w:tc>
          <w:tcPr>
            <w:tcW w:w="4680" w:type="dxa"/>
          </w:tcPr>
          <w:p w14:paraId="4E52E362" w14:textId="77777777" w:rsidR="003774C2" w:rsidRDefault="00000000">
            <w:r>
              <w:rPr>
                <w:b/>
              </w:rPr>
              <w:t>ASEC</w:t>
            </w:r>
          </w:p>
        </w:tc>
        <w:tc>
          <w:tcPr>
            <w:tcW w:w="4680" w:type="dxa"/>
          </w:tcPr>
          <w:p w14:paraId="5CE9FE57" w14:textId="77777777" w:rsidR="003774C2" w:rsidRDefault="00000000">
            <w:r>
              <w:t>Annual Social and Economic Supplement (CPS)</w:t>
            </w:r>
          </w:p>
        </w:tc>
      </w:tr>
      <w:tr w:rsidR="003774C2" w14:paraId="4694939F" w14:textId="77777777">
        <w:trPr>
          <w:jc w:val="center"/>
        </w:trPr>
        <w:tc>
          <w:tcPr>
            <w:tcW w:w="4680" w:type="dxa"/>
          </w:tcPr>
          <w:p w14:paraId="057DBDA9" w14:textId="77777777" w:rsidR="003774C2" w:rsidRDefault="00000000">
            <w:r>
              <w:rPr>
                <w:b/>
              </w:rPr>
              <w:t>AUC</w:t>
            </w:r>
          </w:p>
        </w:tc>
        <w:tc>
          <w:tcPr>
            <w:tcW w:w="4680" w:type="dxa"/>
          </w:tcPr>
          <w:p w14:paraId="43E1C021" w14:textId="77777777" w:rsidR="003774C2" w:rsidRDefault="00000000">
            <w:r>
              <w:t>Area Under the Curve</w:t>
            </w:r>
          </w:p>
        </w:tc>
      </w:tr>
      <w:tr w:rsidR="003774C2" w14:paraId="4B0E2BD4" w14:textId="77777777">
        <w:trPr>
          <w:jc w:val="center"/>
        </w:trPr>
        <w:tc>
          <w:tcPr>
            <w:tcW w:w="4680" w:type="dxa"/>
          </w:tcPr>
          <w:p w14:paraId="4CF0083D" w14:textId="77777777" w:rsidR="003774C2" w:rsidRDefault="00000000">
            <w:r>
              <w:rPr>
                <w:b/>
              </w:rPr>
              <w:t>CPS</w:t>
            </w:r>
          </w:p>
        </w:tc>
        <w:tc>
          <w:tcPr>
            <w:tcW w:w="4680" w:type="dxa"/>
          </w:tcPr>
          <w:p w14:paraId="2F78DEF5" w14:textId="77777777" w:rsidR="003774C2" w:rsidRDefault="00000000">
            <w:r>
              <w:t>Current Population Survey (U.S. Bureau of Labor Statistics / Census Bureau)</w:t>
            </w:r>
          </w:p>
        </w:tc>
      </w:tr>
      <w:tr w:rsidR="003774C2" w14:paraId="57830029" w14:textId="77777777">
        <w:trPr>
          <w:jc w:val="center"/>
        </w:trPr>
        <w:tc>
          <w:tcPr>
            <w:tcW w:w="4680" w:type="dxa"/>
          </w:tcPr>
          <w:p w14:paraId="79B44126" w14:textId="77777777" w:rsidR="003774C2" w:rsidRDefault="00000000">
            <w:r>
              <w:rPr>
                <w:b/>
              </w:rPr>
              <w:t>CV</w:t>
            </w:r>
          </w:p>
        </w:tc>
        <w:tc>
          <w:tcPr>
            <w:tcW w:w="4680" w:type="dxa"/>
          </w:tcPr>
          <w:p w14:paraId="1334468B" w14:textId="77777777" w:rsidR="003774C2" w:rsidRDefault="00000000">
            <w:r>
              <w:t>Cross-Validation</w:t>
            </w:r>
          </w:p>
        </w:tc>
      </w:tr>
      <w:tr w:rsidR="003774C2" w14:paraId="04AC2D0B" w14:textId="77777777">
        <w:trPr>
          <w:jc w:val="center"/>
        </w:trPr>
        <w:tc>
          <w:tcPr>
            <w:tcW w:w="4680" w:type="dxa"/>
          </w:tcPr>
          <w:p w14:paraId="57AA118A" w14:textId="77777777" w:rsidR="003774C2" w:rsidRDefault="00000000">
            <w:r>
              <w:rPr>
                <w:b/>
              </w:rPr>
              <w:t>DOCX</w:t>
            </w:r>
          </w:p>
        </w:tc>
        <w:tc>
          <w:tcPr>
            <w:tcW w:w="4680" w:type="dxa"/>
          </w:tcPr>
          <w:p w14:paraId="326FC382" w14:textId="77777777" w:rsidR="003774C2" w:rsidRDefault="00000000">
            <w:r>
              <w:t>Microsoft Word OpenXML Document Format</w:t>
            </w:r>
          </w:p>
        </w:tc>
      </w:tr>
      <w:tr w:rsidR="003774C2" w14:paraId="38DA7292" w14:textId="77777777">
        <w:trPr>
          <w:jc w:val="center"/>
        </w:trPr>
        <w:tc>
          <w:tcPr>
            <w:tcW w:w="4680" w:type="dxa"/>
          </w:tcPr>
          <w:p w14:paraId="5C48B82A" w14:textId="77777777" w:rsidR="003774C2" w:rsidRDefault="00000000">
            <w:r>
              <w:rPr>
                <w:b/>
              </w:rPr>
              <w:t>EDA</w:t>
            </w:r>
          </w:p>
        </w:tc>
        <w:tc>
          <w:tcPr>
            <w:tcW w:w="4680" w:type="dxa"/>
          </w:tcPr>
          <w:p w14:paraId="6CCE13CC" w14:textId="77777777" w:rsidR="003774C2" w:rsidRDefault="00000000">
            <w:r>
              <w:t>Exploratory Data Analysis</w:t>
            </w:r>
          </w:p>
        </w:tc>
      </w:tr>
      <w:tr w:rsidR="003774C2" w14:paraId="239A51CE" w14:textId="77777777">
        <w:trPr>
          <w:jc w:val="center"/>
        </w:trPr>
        <w:tc>
          <w:tcPr>
            <w:tcW w:w="4680" w:type="dxa"/>
          </w:tcPr>
          <w:p w14:paraId="2F6A0F73" w14:textId="77777777" w:rsidR="003774C2" w:rsidRDefault="00000000">
            <w:r>
              <w:rPr>
                <w:b/>
              </w:rPr>
              <w:t>ETL</w:t>
            </w:r>
          </w:p>
        </w:tc>
        <w:tc>
          <w:tcPr>
            <w:tcW w:w="4680" w:type="dxa"/>
          </w:tcPr>
          <w:p w14:paraId="12DF8267" w14:textId="77777777" w:rsidR="003774C2" w:rsidRDefault="00000000">
            <w:r>
              <w:t>Extract, Transform, Load</w:t>
            </w:r>
          </w:p>
        </w:tc>
      </w:tr>
      <w:tr w:rsidR="003774C2" w14:paraId="05649624" w14:textId="77777777">
        <w:trPr>
          <w:jc w:val="center"/>
        </w:trPr>
        <w:tc>
          <w:tcPr>
            <w:tcW w:w="4680" w:type="dxa"/>
          </w:tcPr>
          <w:p w14:paraId="72412200" w14:textId="77777777" w:rsidR="003774C2" w:rsidRDefault="00000000">
            <w:r>
              <w:rPr>
                <w:b/>
              </w:rPr>
              <w:t>FIPS</w:t>
            </w:r>
          </w:p>
        </w:tc>
        <w:tc>
          <w:tcPr>
            <w:tcW w:w="4680" w:type="dxa"/>
          </w:tcPr>
          <w:p w14:paraId="47C255DB" w14:textId="77777777" w:rsidR="003774C2" w:rsidRDefault="00000000">
            <w:r>
              <w:t>Federal Information Processing Standards</w:t>
            </w:r>
          </w:p>
        </w:tc>
      </w:tr>
      <w:tr w:rsidR="003774C2" w14:paraId="2BA66407" w14:textId="77777777">
        <w:trPr>
          <w:jc w:val="center"/>
        </w:trPr>
        <w:tc>
          <w:tcPr>
            <w:tcW w:w="4680" w:type="dxa"/>
          </w:tcPr>
          <w:p w14:paraId="7EE0A5E9" w14:textId="77777777" w:rsidR="003774C2" w:rsidRDefault="00000000">
            <w:r>
              <w:rPr>
                <w:b/>
              </w:rPr>
              <w:t>FN</w:t>
            </w:r>
          </w:p>
        </w:tc>
        <w:tc>
          <w:tcPr>
            <w:tcW w:w="4680" w:type="dxa"/>
          </w:tcPr>
          <w:p w14:paraId="0B49DCC0" w14:textId="77777777" w:rsidR="003774C2" w:rsidRDefault="00000000">
            <w:r>
              <w:t>False Negative</w:t>
            </w:r>
          </w:p>
        </w:tc>
      </w:tr>
      <w:tr w:rsidR="003774C2" w14:paraId="218B827E" w14:textId="77777777">
        <w:trPr>
          <w:jc w:val="center"/>
        </w:trPr>
        <w:tc>
          <w:tcPr>
            <w:tcW w:w="4680" w:type="dxa"/>
          </w:tcPr>
          <w:p w14:paraId="295835D0" w14:textId="77777777" w:rsidR="003774C2" w:rsidRDefault="00000000">
            <w:r>
              <w:rPr>
                <w:b/>
              </w:rPr>
              <w:t>FP</w:t>
            </w:r>
          </w:p>
        </w:tc>
        <w:tc>
          <w:tcPr>
            <w:tcW w:w="4680" w:type="dxa"/>
          </w:tcPr>
          <w:p w14:paraId="38153B2A" w14:textId="77777777" w:rsidR="003774C2" w:rsidRDefault="00000000">
            <w:r>
              <w:t>False Positive</w:t>
            </w:r>
          </w:p>
        </w:tc>
      </w:tr>
      <w:tr w:rsidR="003774C2" w14:paraId="3F280871" w14:textId="77777777">
        <w:trPr>
          <w:jc w:val="center"/>
        </w:trPr>
        <w:tc>
          <w:tcPr>
            <w:tcW w:w="4680" w:type="dxa"/>
          </w:tcPr>
          <w:p w14:paraId="0019D326" w14:textId="77777777" w:rsidR="003774C2" w:rsidRDefault="00000000">
            <w:r>
              <w:rPr>
                <w:b/>
              </w:rPr>
              <w:t>GUI</w:t>
            </w:r>
          </w:p>
        </w:tc>
        <w:tc>
          <w:tcPr>
            <w:tcW w:w="4680" w:type="dxa"/>
          </w:tcPr>
          <w:p w14:paraId="79C61532" w14:textId="77777777" w:rsidR="003774C2" w:rsidRDefault="00000000">
            <w:r>
              <w:t>Graphical User Interface</w:t>
            </w:r>
          </w:p>
        </w:tc>
      </w:tr>
      <w:tr w:rsidR="003774C2" w14:paraId="100F1C89" w14:textId="77777777">
        <w:trPr>
          <w:jc w:val="center"/>
        </w:trPr>
        <w:tc>
          <w:tcPr>
            <w:tcW w:w="4680" w:type="dxa"/>
          </w:tcPr>
          <w:p w14:paraId="7DD8A01A" w14:textId="77777777" w:rsidR="003774C2" w:rsidRDefault="00000000">
            <w:r>
              <w:rPr>
                <w:b/>
              </w:rPr>
              <w:t>IBM</w:t>
            </w:r>
          </w:p>
        </w:tc>
        <w:tc>
          <w:tcPr>
            <w:tcW w:w="4680" w:type="dxa"/>
          </w:tcPr>
          <w:p w14:paraId="7A830977" w14:textId="77777777" w:rsidR="003774C2" w:rsidRDefault="00000000">
            <w:r>
              <w:t>International Business Machines Corporation</w:t>
            </w:r>
          </w:p>
        </w:tc>
      </w:tr>
      <w:tr w:rsidR="003774C2" w14:paraId="3B3BA756" w14:textId="77777777">
        <w:trPr>
          <w:jc w:val="center"/>
        </w:trPr>
        <w:tc>
          <w:tcPr>
            <w:tcW w:w="4680" w:type="dxa"/>
          </w:tcPr>
          <w:p w14:paraId="2EC66274" w14:textId="77777777" w:rsidR="003774C2" w:rsidRDefault="00000000">
            <w:r>
              <w:rPr>
                <w:b/>
              </w:rPr>
              <w:t>IPUMS</w:t>
            </w:r>
          </w:p>
        </w:tc>
        <w:tc>
          <w:tcPr>
            <w:tcW w:w="4680" w:type="dxa"/>
          </w:tcPr>
          <w:p w14:paraId="0BBBB5D7" w14:textId="77777777" w:rsidR="003774C2" w:rsidRDefault="00000000">
            <w:r>
              <w:t>Integrated Public Use Microdata Series (University of Minnesota)</w:t>
            </w:r>
          </w:p>
        </w:tc>
      </w:tr>
      <w:tr w:rsidR="003774C2" w14:paraId="711D1464" w14:textId="77777777">
        <w:trPr>
          <w:jc w:val="center"/>
        </w:trPr>
        <w:tc>
          <w:tcPr>
            <w:tcW w:w="4680" w:type="dxa"/>
          </w:tcPr>
          <w:p w14:paraId="7A8F6ADA" w14:textId="77777777" w:rsidR="003774C2" w:rsidRDefault="00000000">
            <w:r>
              <w:rPr>
                <w:b/>
              </w:rPr>
              <w:t>JSON</w:t>
            </w:r>
          </w:p>
        </w:tc>
        <w:tc>
          <w:tcPr>
            <w:tcW w:w="4680" w:type="dxa"/>
          </w:tcPr>
          <w:p w14:paraId="6B031A83" w14:textId="77777777" w:rsidR="003774C2" w:rsidRDefault="00000000">
            <w:r>
              <w:t>JavaScript Object Notation</w:t>
            </w:r>
          </w:p>
        </w:tc>
      </w:tr>
      <w:tr w:rsidR="003774C2" w14:paraId="203201F3" w14:textId="77777777">
        <w:trPr>
          <w:jc w:val="center"/>
        </w:trPr>
        <w:tc>
          <w:tcPr>
            <w:tcW w:w="4680" w:type="dxa"/>
          </w:tcPr>
          <w:p w14:paraId="03A42376" w14:textId="77777777" w:rsidR="003774C2" w:rsidRDefault="00000000">
            <w:r>
              <w:rPr>
                <w:b/>
              </w:rPr>
              <w:t>KPI</w:t>
            </w:r>
          </w:p>
        </w:tc>
        <w:tc>
          <w:tcPr>
            <w:tcW w:w="4680" w:type="dxa"/>
          </w:tcPr>
          <w:p w14:paraId="4AF12555" w14:textId="77777777" w:rsidR="003774C2" w:rsidRDefault="00000000">
            <w:r>
              <w:t>Key Performance Indicator</w:t>
            </w:r>
          </w:p>
        </w:tc>
      </w:tr>
      <w:tr w:rsidR="003774C2" w14:paraId="0BE30296" w14:textId="77777777">
        <w:trPr>
          <w:jc w:val="center"/>
        </w:trPr>
        <w:tc>
          <w:tcPr>
            <w:tcW w:w="4680" w:type="dxa"/>
          </w:tcPr>
          <w:p w14:paraId="39819979" w14:textId="77777777" w:rsidR="003774C2" w:rsidRDefault="00000000">
            <w:r>
              <w:rPr>
                <w:b/>
              </w:rPr>
              <w:t>ML</w:t>
            </w:r>
          </w:p>
        </w:tc>
        <w:tc>
          <w:tcPr>
            <w:tcW w:w="4680" w:type="dxa"/>
          </w:tcPr>
          <w:p w14:paraId="3BE99AC3" w14:textId="77777777" w:rsidR="003774C2" w:rsidRDefault="00000000">
            <w:r>
              <w:t>Machine Learning</w:t>
            </w:r>
          </w:p>
        </w:tc>
      </w:tr>
      <w:tr w:rsidR="003774C2" w14:paraId="14557D53" w14:textId="77777777">
        <w:trPr>
          <w:jc w:val="center"/>
        </w:trPr>
        <w:tc>
          <w:tcPr>
            <w:tcW w:w="4680" w:type="dxa"/>
          </w:tcPr>
          <w:p w14:paraId="1EE6DC82" w14:textId="77777777" w:rsidR="003774C2" w:rsidRDefault="00000000">
            <w:r>
              <w:rPr>
                <w:b/>
              </w:rPr>
              <w:t>MPI</w:t>
            </w:r>
          </w:p>
        </w:tc>
        <w:tc>
          <w:tcPr>
            <w:tcW w:w="4680" w:type="dxa"/>
          </w:tcPr>
          <w:p w14:paraId="19A61A8E" w14:textId="77777777" w:rsidR="003774C2" w:rsidRDefault="00000000">
            <w:r>
              <w:t>Migration Pressure Index (Engineered Metric)</w:t>
            </w:r>
          </w:p>
        </w:tc>
      </w:tr>
      <w:tr w:rsidR="003774C2" w14:paraId="68ECD8E9" w14:textId="77777777">
        <w:trPr>
          <w:jc w:val="center"/>
        </w:trPr>
        <w:tc>
          <w:tcPr>
            <w:tcW w:w="4680" w:type="dxa"/>
          </w:tcPr>
          <w:p w14:paraId="2EB5946C" w14:textId="77777777" w:rsidR="003774C2" w:rsidRDefault="00000000">
            <w:r>
              <w:rPr>
                <w:b/>
              </w:rPr>
              <w:t>NIU</w:t>
            </w:r>
          </w:p>
        </w:tc>
        <w:tc>
          <w:tcPr>
            <w:tcW w:w="4680" w:type="dxa"/>
          </w:tcPr>
          <w:p w14:paraId="070BC0B7" w14:textId="77777777" w:rsidR="003774C2" w:rsidRDefault="00000000">
            <w:r>
              <w:t>Not in Universe (Census code for inapplicable respondents)</w:t>
            </w:r>
          </w:p>
        </w:tc>
      </w:tr>
      <w:tr w:rsidR="003774C2" w14:paraId="4EAE9053" w14:textId="77777777">
        <w:trPr>
          <w:jc w:val="center"/>
        </w:trPr>
        <w:tc>
          <w:tcPr>
            <w:tcW w:w="4680" w:type="dxa"/>
          </w:tcPr>
          <w:p w14:paraId="614A57D5" w14:textId="77777777" w:rsidR="003774C2" w:rsidRDefault="00000000">
            <w:r>
              <w:rPr>
                <w:b/>
              </w:rPr>
              <w:t>PII</w:t>
            </w:r>
          </w:p>
        </w:tc>
        <w:tc>
          <w:tcPr>
            <w:tcW w:w="4680" w:type="dxa"/>
          </w:tcPr>
          <w:p w14:paraId="7C186383" w14:textId="77777777" w:rsidR="003774C2" w:rsidRDefault="00000000">
            <w:r>
              <w:t>Personally Identifiable Information</w:t>
            </w:r>
          </w:p>
        </w:tc>
      </w:tr>
      <w:tr w:rsidR="003774C2" w14:paraId="22233C70" w14:textId="77777777">
        <w:trPr>
          <w:jc w:val="center"/>
        </w:trPr>
        <w:tc>
          <w:tcPr>
            <w:tcW w:w="4680" w:type="dxa"/>
          </w:tcPr>
          <w:p w14:paraId="19E3A42F" w14:textId="77777777" w:rsidR="003774C2" w:rsidRDefault="00000000">
            <w:r>
              <w:rPr>
                <w:b/>
              </w:rPr>
              <w:t>RBAC</w:t>
            </w:r>
          </w:p>
        </w:tc>
        <w:tc>
          <w:tcPr>
            <w:tcW w:w="4680" w:type="dxa"/>
          </w:tcPr>
          <w:p w14:paraId="4D1E655B" w14:textId="77777777" w:rsidR="003774C2" w:rsidRDefault="00000000">
            <w:r>
              <w:t>Role-Based Access Control</w:t>
            </w:r>
          </w:p>
        </w:tc>
      </w:tr>
      <w:tr w:rsidR="003774C2" w14:paraId="191F986F" w14:textId="77777777">
        <w:trPr>
          <w:jc w:val="center"/>
        </w:trPr>
        <w:tc>
          <w:tcPr>
            <w:tcW w:w="4680" w:type="dxa"/>
          </w:tcPr>
          <w:p w14:paraId="3CD24923" w14:textId="77777777" w:rsidR="003774C2" w:rsidRDefault="00000000">
            <w:r>
              <w:rPr>
                <w:b/>
              </w:rPr>
              <w:t>ROC</w:t>
            </w:r>
          </w:p>
        </w:tc>
        <w:tc>
          <w:tcPr>
            <w:tcW w:w="4680" w:type="dxa"/>
          </w:tcPr>
          <w:p w14:paraId="6A4CA33F" w14:textId="77777777" w:rsidR="003774C2" w:rsidRDefault="00000000">
            <w:r>
              <w:t>Receiver Operating Characteristic</w:t>
            </w:r>
          </w:p>
        </w:tc>
      </w:tr>
      <w:tr w:rsidR="003774C2" w14:paraId="7CC501AB" w14:textId="77777777">
        <w:trPr>
          <w:jc w:val="center"/>
        </w:trPr>
        <w:tc>
          <w:tcPr>
            <w:tcW w:w="4680" w:type="dxa"/>
          </w:tcPr>
          <w:p w14:paraId="6C27870E" w14:textId="77777777" w:rsidR="003774C2" w:rsidRDefault="00000000">
            <w:r>
              <w:rPr>
                <w:b/>
              </w:rPr>
              <w:t>TN</w:t>
            </w:r>
          </w:p>
        </w:tc>
        <w:tc>
          <w:tcPr>
            <w:tcW w:w="4680" w:type="dxa"/>
          </w:tcPr>
          <w:p w14:paraId="43750EC9" w14:textId="77777777" w:rsidR="003774C2" w:rsidRDefault="00000000">
            <w:r>
              <w:t>True Negative</w:t>
            </w:r>
          </w:p>
        </w:tc>
      </w:tr>
      <w:tr w:rsidR="003774C2" w14:paraId="048501F5" w14:textId="77777777">
        <w:trPr>
          <w:jc w:val="center"/>
        </w:trPr>
        <w:tc>
          <w:tcPr>
            <w:tcW w:w="4680" w:type="dxa"/>
          </w:tcPr>
          <w:p w14:paraId="2CDDF65B" w14:textId="77777777" w:rsidR="003774C2" w:rsidRDefault="00000000">
            <w:r>
              <w:rPr>
                <w:b/>
              </w:rPr>
              <w:t>TP</w:t>
            </w:r>
          </w:p>
        </w:tc>
        <w:tc>
          <w:tcPr>
            <w:tcW w:w="4680" w:type="dxa"/>
          </w:tcPr>
          <w:p w14:paraId="5A40D700" w14:textId="77777777" w:rsidR="003774C2" w:rsidRDefault="00000000">
            <w:r>
              <w:t>True Positive</w:t>
            </w:r>
          </w:p>
        </w:tc>
      </w:tr>
      <w:tr w:rsidR="003774C2" w14:paraId="6E6DCF48" w14:textId="77777777">
        <w:trPr>
          <w:jc w:val="center"/>
        </w:trPr>
        <w:tc>
          <w:tcPr>
            <w:tcW w:w="4680" w:type="dxa"/>
          </w:tcPr>
          <w:p w14:paraId="7DA8B724" w14:textId="77777777" w:rsidR="003774C2" w:rsidRDefault="00000000">
            <w:r>
              <w:rPr>
                <w:b/>
              </w:rPr>
              <w:t>UI</w:t>
            </w:r>
          </w:p>
        </w:tc>
        <w:tc>
          <w:tcPr>
            <w:tcW w:w="4680" w:type="dxa"/>
          </w:tcPr>
          <w:p w14:paraId="4C86E78C" w14:textId="77777777" w:rsidR="003774C2" w:rsidRDefault="00000000">
            <w:r>
              <w:t>User Interface</w:t>
            </w:r>
          </w:p>
        </w:tc>
      </w:tr>
      <w:tr w:rsidR="003774C2" w14:paraId="4EA5BC03" w14:textId="77777777">
        <w:trPr>
          <w:jc w:val="center"/>
        </w:trPr>
        <w:tc>
          <w:tcPr>
            <w:tcW w:w="4680" w:type="dxa"/>
          </w:tcPr>
          <w:p w14:paraId="05B5ECCE" w14:textId="77777777" w:rsidR="003774C2" w:rsidRDefault="00000000">
            <w:r>
              <w:rPr>
                <w:b/>
              </w:rPr>
              <w:lastRenderedPageBreak/>
              <w:t>UX</w:t>
            </w:r>
          </w:p>
        </w:tc>
        <w:tc>
          <w:tcPr>
            <w:tcW w:w="4680" w:type="dxa"/>
          </w:tcPr>
          <w:p w14:paraId="2F4A40D3" w14:textId="77777777" w:rsidR="003774C2" w:rsidRDefault="00000000">
            <w:r>
              <w:t>User Experience</w:t>
            </w:r>
          </w:p>
        </w:tc>
      </w:tr>
      <w:tr w:rsidR="003774C2" w14:paraId="6A68FF97" w14:textId="77777777">
        <w:trPr>
          <w:jc w:val="center"/>
        </w:trPr>
        <w:tc>
          <w:tcPr>
            <w:tcW w:w="4680" w:type="dxa"/>
          </w:tcPr>
          <w:p w14:paraId="472AA55E" w14:textId="77777777" w:rsidR="003774C2" w:rsidRDefault="00000000">
            <w:r>
              <w:rPr>
                <w:b/>
              </w:rPr>
              <w:t>WCAG</w:t>
            </w:r>
          </w:p>
        </w:tc>
        <w:tc>
          <w:tcPr>
            <w:tcW w:w="4680" w:type="dxa"/>
          </w:tcPr>
          <w:p w14:paraId="4A16DEAA" w14:textId="77777777" w:rsidR="003774C2" w:rsidRDefault="00000000">
            <w:r>
              <w:t>Web Content Accessibility Guidelines</w:t>
            </w:r>
          </w:p>
        </w:tc>
      </w:tr>
    </w:tbl>
    <w:p w14:paraId="592229E8" w14:textId="77777777" w:rsidR="003774C2" w:rsidRDefault="00000000">
      <w:r>
        <w:br w:type="page"/>
      </w:r>
    </w:p>
    <w:p w14:paraId="0EAE9242" w14:textId="77777777" w:rsidR="003774C2" w:rsidRDefault="003774C2">
      <w:pPr>
        <w:sectPr w:rsidR="003774C2" w:rsidSect="006815CA">
          <w:footerReference w:type="default" r:id="rId9"/>
          <w:pgSz w:w="12240" w:h="15840"/>
          <w:pgMar w:top="567" w:right="567" w:bottom="567" w:left="567" w:header="720" w:footer="720" w:gutter="0"/>
          <w:pgNumType w:fmt="lowerRoman" w:start="1"/>
          <w:cols w:space="720"/>
          <w:docGrid w:linePitch="360"/>
        </w:sectPr>
      </w:pPr>
    </w:p>
    <w:p w14:paraId="5A2DB3CF" w14:textId="77777777" w:rsidR="003774C2" w:rsidRDefault="00000000">
      <w:pPr>
        <w:keepNext/>
        <w:spacing w:before="360" w:after="80"/>
      </w:pPr>
      <w:r>
        <w:rPr>
          <w:b/>
          <w:color w:val="0F306E"/>
          <w:sz w:val="28"/>
        </w:rPr>
        <w:lastRenderedPageBreak/>
        <w:t>CHAPTER 1</w:t>
      </w:r>
      <w:r>
        <w:rPr>
          <w:b/>
          <w:color w:val="0F306E"/>
          <w:sz w:val="28"/>
        </w:rPr>
        <w:br/>
      </w:r>
      <w:r>
        <w:rPr>
          <w:b/>
          <w:color w:val="0F306E"/>
          <w:sz w:val="32"/>
        </w:rPr>
        <w:t>INTRODUCTION</w:t>
      </w:r>
    </w:p>
    <w:p w14:paraId="2657F121" w14:textId="77777777" w:rsidR="003774C2" w:rsidRDefault="00000000">
      <w:pPr>
        <w:keepNext/>
        <w:spacing w:before="280" w:after="80"/>
      </w:pPr>
      <w:r>
        <w:rPr>
          <w:b/>
          <w:color w:val="2B4C7E"/>
          <w:sz w:val="26"/>
        </w:rPr>
        <w:t>1.1 Background and Socio-Economic Motivation</w:t>
      </w:r>
    </w:p>
    <w:p w14:paraId="16CA4C2B" w14:textId="77777777" w:rsidR="003774C2" w:rsidRDefault="00000000">
      <w:pPr>
        <w:jc w:val="both"/>
      </w:pPr>
      <w:r>
        <w:rPr>
          <w:color w:val="1F242E"/>
        </w:rPr>
        <w:t>Interstate demographic mobility represents one of the most powerful macroeconomic forces shaping the fiscal health, electoral distribution, and economic vitality of state and municipal governments across the United States. Annually, millions of American citizens make the consequential decision to relocate across state boundaries in pursuit of superior employment opportunities, lower regional living costs, favorable tax regimes, educational institutions, or superior lifestyle amenities. While domestic migration functions as an essential equilibrating mechanism in dynamic market economies—allocating human capital toward rapidly expanding industrial sectors—unmitigated and unanticipated population flight poses profound fiscal and existential crises for origin jurisdictions.</w:t>
      </w:r>
    </w:p>
    <w:p w14:paraId="69D8C48B" w14:textId="77777777" w:rsidR="003774C2" w:rsidRDefault="00000000">
      <w:pPr>
        <w:jc w:val="both"/>
      </w:pPr>
      <w:r>
        <w:rPr>
          <w:color w:val="1F242E"/>
        </w:rPr>
        <w:t>When an educated, high-earning, or working-age demographic cohort relocates from a state, the origin jurisdiction experiences an immediate and compounding erosion of its economic base. State personal income tax collections drop precipitously; municipal sales tax revenues decline; and property market demand softens, curtailing municipal property tax assessments. Simultaneously, fixed costs associated with public infrastructure—such as municipal water and sewer utilities, highways, transit systems, and under-enrolled public schools—must be amortized across a shrinking resident tax base. This dynamic creates a vicious fiscal cycle: state and local governments are forced to raise marginal tax rates or reduce essential public services to balance constitutionally mandated municipal budgets, which in turn incentivizes further outward migration among remaining productive taxpayers.</w:t>
      </w:r>
    </w:p>
    <w:p w14:paraId="3BF8E7CE" w14:textId="77777777" w:rsidR="003774C2" w:rsidRDefault="00000000">
      <w:pPr>
        <w:jc w:val="both"/>
      </w:pPr>
      <w:r>
        <w:rPr>
          <w:color w:val="1F242E"/>
        </w:rPr>
        <w:t>According to reports published by the National Conference of State Legislatures and the Tax Foundation, net outflow jurisdictions such as New York, Illinois, and California have witnessed aggregate adjusted gross income (AGI) outflows exceeding tens of billions of dollars annually over the past decade. Conversely, net destination states across the American Sunbelt—most notably Texas, Florida, North Carolina, and Arizona—have experienced transformative economic expansions that simultaneously strain local housing affordability, transportation networks, and civic utilities. In this turbulent landscape, state budget directors, economic development authorities, and legislative policy advisors require advanced predictive intelligence capabilities rather than passive observational accounts.</w:t>
      </w:r>
    </w:p>
    <w:p w14:paraId="56E1A579" w14:textId="77777777" w:rsidR="003774C2" w:rsidRDefault="00000000">
      <w:pPr>
        <w:keepNext/>
        <w:spacing w:before="280" w:after="80"/>
      </w:pPr>
      <w:r>
        <w:rPr>
          <w:b/>
          <w:color w:val="2B4C7E"/>
          <w:sz w:val="26"/>
        </w:rPr>
        <w:t>1.2 The Demographic Imperative: Limitations of Retrospective Reporting</w:t>
      </w:r>
    </w:p>
    <w:p w14:paraId="2995F26B" w14:textId="77777777" w:rsidR="003774C2" w:rsidRDefault="00000000">
      <w:pPr>
        <w:jc w:val="both"/>
      </w:pPr>
      <w:r>
        <w:rPr>
          <w:color w:val="1F242E"/>
        </w:rPr>
        <w:t>Despite the existential economic stakes governing population movements, public sector leaders have historically operated in an informational vacuum characterized by severe temporal latency. The official federal benchmark for interstate mobility—the U.S. Census Bureau American Community Survey (ACS) State-to-State Migration flow series—is released with an operational lag ranging from 18 to 36 months. For example, flow data capturing relocations that occurred during the 2021 calendar year are frequently published in late 2023 or 2024, by which time departing residents have already altered their legal domiciles, surrendered their voter registrations, transferred their business licenses, and enrolled their dependents in destination school districts.</w:t>
      </w:r>
    </w:p>
    <w:p w14:paraId="7881B614" w14:textId="77777777" w:rsidR="003774C2" w:rsidRDefault="00000000">
      <w:pPr>
        <w:jc w:val="both"/>
      </w:pPr>
      <w:r>
        <w:rPr>
          <w:color w:val="1F242E"/>
        </w:rPr>
        <w:t xml:space="preserve">Furthermore, retrospective census tables deliver static, aggregate flow matrices that indicate how many individuals moved from State A to State B, but provide zero granular insight into the underlying demographic archetypes driving the movement. Policymakers are left with coarse macro sums that fail to distinguish whether an outflow </w:t>
      </w:r>
      <w:r>
        <w:rPr>
          <w:color w:val="1F242E"/>
        </w:rPr>
        <w:lastRenderedPageBreak/>
        <w:t>consists predominantly of recent college graduates facing prohibitive starter-home prices, mid-career professionals seeking lower personal income taxes, or retirees pursuing warmer climates and specialized healthcare amenities. Lacking predictive demographic segmentation, regional authorities cannot design targeted, cost-effective policy countermeasures—such as first-time homebuyer tax credits, student debt relief compacts, or commercial research and development incentives—before the human capital flight becomes irreversible.</w:t>
      </w:r>
    </w:p>
    <w:p w14:paraId="23331AD9" w14:textId="77777777" w:rsidR="003774C2" w:rsidRDefault="00000000">
      <w:pPr>
        <w:keepNext/>
        <w:spacing w:before="280" w:after="80"/>
      </w:pPr>
      <w:r>
        <w:rPr>
          <w:b/>
          <w:color w:val="2B4C7E"/>
          <w:sz w:val="26"/>
        </w:rPr>
        <w:t>1.3 Scope, Stakeholders, and Target Policy Domains</w:t>
      </w:r>
    </w:p>
    <w:p w14:paraId="7A99BACA" w14:textId="77777777" w:rsidR="003774C2" w:rsidRDefault="00000000">
      <w:pPr>
        <w:jc w:val="both"/>
      </w:pPr>
      <w:r>
        <w:rPr>
          <w:color w:val="1F242E"/>
        </w:rPr>
        <w:t>The scope of this project is to conceptualize, engineer, validate, and deploy a production-grade demographic intelligence platform that transforms federal demographic data from a retrospective accounting mechanism into a forward-looking predictive early-warning system. The system synthesizes longitudinal macro-level migration matrices spanning ten consecutive calendar years (2010 through 2019) with over 1.4 million anonymized individual microdata records from the Current Population Survey (CPS) Annual Social and Economic Supplement (ASEC).</w:t>
      </w:r>
    </w:p>
    <w:p w14:paraId="769FCDEB" w14:textId="77777777" w:rsidR="003774C2" w:rsidRDefault="00000000">
      <w:pPr>
        <w:jc w:val="both"/>
      </w:pPr>
      <w:r>
        <w:rPr>
          <w:color w:val="1F242E"/>
        </w:rPr>
        <w:t>The platform is specifically architected to empower four primary stakeholder categories across state and federal governance:</w:t>
      </w:r>
    </w:p>
    <w:p w14:paraId="6BAB97FF" w14:textId="77777777" w:rsidR="003774C2" w:rsidRDefault="00000000">
      <w:pPr>
        <w:pStyle w:val="ListBullet"/>
        <w:spacing w:after="80" w:line="288" w:lineRule="auto"/>
      </w:pPr>
      <w:r>
        <w:rPr>
          <w:b/>
          <w:color w:val="0F306E"/>
        </w:rPr>
        <w:t xml:space="preserve">State Treasuries and Budget Offices: </w:t>
      </w:r>
      <w:r>
        <w:rPr>
          <w:color w:val="1F242E"/>
        </w:rPr>
        <w:t>Responsible for long-range revenue forecasting, debt service sustainability analysis, and municipal bond rating preservation.</w:t>
      </w:r>
    </w:p>
    <w:p w14:paraId="30F2F392" w14:textId="77777777" w:rsidR="003774C2" w:rsidRDefault="00000000">
      <w:pPr>
        <w:pStyle w:val="ListBullet"/>
        <w:spacing w:after="80" w:line="288" w:lineRule="auto"/>
      </w:pPr>
      <w:r>
        <w:rPr>
          <w:b/>
          <w:color w:val="0F306E"/>
        </w:rPr>
        <w:t xml:space="preserve">Department of Commerce &amp; Economic Development Authorities: </w:t>
      </w:r>
      <w:r>
        <w:rPr>
          <w:color w:val="1F242E"/>
        </w:rPr>
        <w:t>Tasked with designing corporate incentive packages, workforce retention initiatives, and human capital recruitment strategies.</w:t>
      </w:r>
    </w:p>
    <w:p w14:paraId="7376EB19" w14:textId="77777777" w:rsidR="003774C2" w:rsidRDefault="00000000">
      <w:pPr>
        <w:pStyle w:val="ListBullet"/>
        <w:spacing w:after="80" w:line="288" w:lineRule="auto"/>
      </w:pPr>
      <w:r>
        <w:rPr>
          <w:b/>
          <w:color w:val="0F306E"/>
        </w:rPr>
        <w:t xml:space="preserve">Urban Planners and Infrastructure Authorities: </w:t>
      </w:r>
      <w:r>
        <w:rPr>
          <w:color w:val="1F242E"/>
        </w:rPr>
        <w:t>Requiring accurate 5-to-10 year demographic projections to guide capital allocation for transportation networks, hospital systems, and public school construction.</w:t>
      </w:r>
    </w:p>
    <w:p w14:paraId="34260DBA" w14:textId="77777777" w:rsidR="003774C2" w:rsidRDefault="00000000">
      <w:pPr>
        <w:pStyle w:val="ListBullet"/>
        <w:spacing w:after="80" w:line="288" w:lineRule="auto"/>
      </w:pPr>
      <w:r>
        <w:rPr>
          <w:b/>
          <w:color w:val="0F306E"/>
        </w:rPr>
        <w:t xml:space="preserve">Legislative Policy Committees: </w:t>
      </w:r>
      <w:r>
        <w:rPr>
          <w:color w:val="1F242E"/>
        </w:rPr>
        <w:t>Needing objective, empirical predictive simulations to evaluate the demographic impact of proposed fiscal, regulatory, and social legislation prior to statutory enactment.</w:t>
      </w:r>
    </w:p>
    <w:p w14:paraId="32E964EC" w14:textId="77777777" w:rsidR="003774C2" w:rsidRDefault="00000000">
      <w:pPr>
        <w:keepNext/>
        <w:spacing w:before="280" w:after="80"/>
      </w:pPr>
      <w:r>
        <w:rPr>
          <w:b/>
          <w:color w:val="2B4C7E"/>
          <w:sz w:val="26"/>
        </w:rPr>
        <w:t>1.4 Research Questions and Academic Contributions</w:t>
      </w:r>
    </w:p>
    <w:p w14:paraId="3ED18F18" w14:textId="77777777" w:rsidR="003774C2" w:rsidRDefault="00000000">
      <w:pPr>
        <w:jc w:val="both"/>
      </w:pPr>
      <w:r>
        <w:rPr>
          <w:color w:val="1F242E"/>
        </w:rPr>
        <w:t>This research is organized around four fundamental academic and applied inquiries:</w:t>
      </w:r>
    </w:p>
    <w:p w14:paraId="086B7200" w14:textId="77777777" w:rsidR="003774C2" w:rsidRDefault="00000000">
      <w:pPr>
        <w:pStyle w:val="ListBullet"/>
        <w:spacing w:after="80" w:line="288" w:lineRule="auto"/>
      </w:pPr>
      <w:r>
        <w:rPr>
          <w:b/>
          <w:color w:val="0F306E"/>
        </w:rPr>
        <w:t xml:space="preserve">Research Question 1 (Data Synthesis): </w:t>
      </w:r>
      <w:r>
        <w:rPr>
          <w:color w:val="1F242E"/>
        </w:rPr>
        <w:t>Can macro-level directional state flow matrices be mathematically unified with granular individual survey microdata to predict relocation risk without ecological fallacy?</w:t>
      </w:r>
    </w:p>
    <w:p w14:paraId="1D011B28" w14:textId="77777777" w:rsidR="003774C2" w:rsidRDefault="00000000">
      <w:pPr>
        <w:pStyle w:val="ListBullet"/>
        <w:spacing w:after="80" w:line="288" w:lineRule="auto"/>
      </w:pPr>
      <w:r>
        <w:rPr>
          <w:b/>
          <w:color w:val="0F306E"/>
        </w:rPr>
        <w:t xml:space="preserve">Research Question 2 (Feature Formulation): </w:t>
      </w:r>
      <w:r>
        <w:rPr>
          <w:color w:val="1F242E"/>
        </w:rPr>
        <w:t>How can multi-year directional migration momentum be formulated into a standardized, scale-invariant index that benchmarks state-level flight vulnerability?</w:t>
      </w:r>
    </w:p>
    <w:p w14:paraId="4E7B8700" w14:textId="77777777" w:rsidR="003774C2" w:rsidRDefault="00000000">
      <w:pPr>
        <w:pStyle w:val="ListBullet"/>
        <w:spacing w:after="80" w:line="288" w:lineRule="auto"/>
      </w:pPr>
      <w:r>
        <w:rPr>
          <w:b/>
          <w:color w:val="0F306E"/>
        </w:rPr>
        <w:t xml:space="preserve">Research Question 3 (Predictive Performance): </w:t>
      </w:r>
      <w:r>
        <w:rPr>
          <w:color w:val="1F242E"/>
        </w:rPr>
        <w:t>To what extent can regularized generalized linear models (Logistic Regression) predict individual relocation probabilities across temporal holdout test splits while maintaining subgroup fairness?</w:t>
      </w:r>
    </w:p>
    <w:p w14:paraId="73F6F10D" w14:textId="77777777" w:rsidR="003774C2" w:rsidRDefault="00000000">
      <w:pPr>
        <w:pStyle w:val="ListBullet"/>
        <w:spacing w:after="80" w:line="288" w:lineRule="auto"/>
      </w:pPr>
      <w:r>
        <w:rPr>
          <w:b/>
          <w:color w:val="0F306E"/>
        </w:rPr>
        <w:t xml:space="preserve">Research Question 4 (Decision Support Deployment): </w:t>
      </w:r>
      <w:r>
        <w:rPr>
          <w:color w:val="1F242E"/>
        </w:rPr>
        <w:t>How can complex statistical predictions be surfaced through a responsive, accessible commercial dashboard interface that non-technical civil servants can operate effectively?</w:t>
      </w:r>
    </w:p>
    <w:p w14:paraId="638A68B2" w14:textId="77777777" w:rsidR="003774C2" w:rsidRDefault="00000000">
      <w:pPr>
        <w:jc w:val="both"/>
      </w:pPr>
      <w:r>
        <w:rPr>
          <w:color w:val="1F242E"/>
        </w:rPr>
        <w:t xml:space="preserve">In addressing these questions, this report makes several distinct academic and technical contributions. First, it derives and validates the Migration Pressure Index (MPI), a novel metric capturing directional net demographic attrition weighted by national population share. Second, it demonstrates rigorous temporal holdout evaluation on 1.4M records spanning 2010–2019, achieving an ROC-AUC of 0.7248 and establishing a reproducible ML </w:t>
      </w:r>
      <w:r>
        <w:rPr>
          <w:color w:val="1F242E"/>
        </w:rPr>
        <w:lastRenderedPageBreak/>
        <w:t>pipeline. Third, it delivers an open-source, full-stack React admin dashboard incorporating an interactive AI Copilot.</w:t>
      </w:r>
    </w:p>
    <w:p w14:paraId="4FDF60EF" w14:textId="77777777" w:rsidR="003774C2" w:rsidRDefault="00000000">
      <w:pPr>
        <w:keepNext/>
        <w:spacing w:before="280" w:after="80"/>
      </w:pPr>
      <w:r>
        <w:rPr>
          <w:b/>
          <w:color w:val="2B4C7E"/>
          <w:sz w:val="26"/>
        </w:rPr>
        <w:t>1.5 Report Organization</w:t>
      </w:r>
    </w:p>
    <w:p w14:paraId="47969CB9" w14:textId="77777777" w:rsidR="003774C2" w:rsidRDefault="00000000">
      <w:pPr>
        <w:jc w:val="both"/>
      </w:pPr>
      <w:r>
        <w:rPr>
          <w:color w:val="1F242E"/>
        </w:rPr>
        <w:t>The remainder of this report is structured into five cohesive chapters. Chapter 2 provides an exhaustive survey of contemporary academic literature across spatial gravity modeling, survey microdata analytics, machine learning in demography, and municipal fiscal impact, concluding with a formal problem statement. Chapter 3 delineates the end-to-end methodology, detailing data preprocessing protocols, mathematical derivations of engineered features, classification model formulation, and the validation matrix. Chapter 4 documents the empirical experimental results, incorporating visual analytics, model evaluation scorecards, 51-state risk benchmarks, and dashboard architecture. Finally, Chapter 5 summarizes key conclusions, discusses real-world policy implications, acknowledges study limitations, and charts prospective avenues for future inquiry.</w:t>
      </w:r>
    </w:p>
    <w:p w14:paraId="78072E42" w14:textId="77777777" w:rsidR="003774C2" w:rsidRDefault="00000000">
      <w:r>
        <w:br w:type="page"/>
      </w:r>
    </w:p>
    <w:p w14:paraId="46869E00" w14:textId="77777777" w:rsidR="003774C2" w:rsidRDefault="00000000">
      <w:pPr>
        <w:keepNext/>
        <w:spacing w:before="360" w:after="80"/>
      </w:pPr>
      <w:r>
        <w:rPr>
          <w:b/>
          <w:color w:val="0F306E"/>
          <w:sz w:val="28"/>
        </w:rPr>
        <w:lastRenderedPageBreak/>
        <w:t>CHAPTER 2</w:t>
      </w:r>
      <w:r>
        <w:rPr>
          <w:b/>
          <w:color w:val="0F306E"/>
          <w:sz w:val="28"/>
        </w:rPr>
        <w:br/>
      </w:r>
      <w:r>
        <w:rPr>
          <w:b/>
          <w:color w:val="0F306E"/>
          <w:sz w:val="32"/>
        </w:rPr>
        <w:t>LITERATURE SURVEY</w:t>
      </w:r>
    </w:p>
    <w:p w14:paraId="356841F0" w14:textId="77777777" w:rsidR="003774C2" w:rsidRDefault="00000000">
      <w:pPr>
        <w:keepNext/>
        <w:spacing w:before="280" w:after="80"/>
      </w:pPr>
      <w:r>
        <w:rPr>
          <w:b/>
          <w:color w:val="2B4C7E"/>
          <w:sz w:val="26"/>
        </w:rPr>
        <w:t>2.1 Thematic Survey of Contemporary Research</w:t>
      </w:r>
    </w:p>
    <w:p w14:paraId="7BB66927" w14:textId="77777777" w:rsidR="003774C2" w:rsidRDefault="00000000">
      <w:pPr>
        <w:jc w:val="both"/>
      </w:pPr>
      <w:r>
        <w:rPr>
          <w:color w:val="1F242E"/>
        </w:rPr>
        <w:t>To establish a rigorous theoretical foundation for predictive demographic modeling, this study conducts an exhaustive, thematic survey of contemporary academic literature. The review encompasses over four decades of scholarship spanning classical spatial interaction theory, census microdata analytics, machine learning applications in mobility forecasting, and municipal fiscal economics.</w:t>
      </w:r>
    </w:p>
    <w:p w14:paraId="1FECFCA0" w14:textId="77777777" w:rsidR="003774C2" w:rsidRDefault="00000000">
      <w:pPr>
        <w:keepNext/>
        <w:spacing w:before="200" w:after="60"/>
      </w:pPr>
      <w:r>
        <w:rPr>
          <w:b/>
          <w:color w:val="0F306E"/>
        </w:rPr>
        <w:t>2.1.1 Classical Macro-Demographic Gravity and Spatial Interaction Models</w:t>
      </w:r>
    </w:p>
    <w:p w14:paraId="61A4388D" w14:textId="77777777" w:rsidR="003774C2" w:rsidRDefault="00000000">
      <w:pPr>
        <w:jc w:val="both"/>
      </w:pPr>
      <w:r>
        <w:rPr>
          <w:color w:val="1F242E"/>
        </w:rPr>
        <w:t>The theoretical foundation of internal migration modeling traces its lineage to the foundational empirical axioms articulated by E.G. Ravenstein [1] in his seminal treatise on the 'Laws of Migration'. Ravenstein posited that migration volumes decline systematically with increasing geographical distance, that population movements occur in stepwise waves from rural peripheries toward urban economic cores, and that every major stream of migration produces a compensating counter-stream. Building upon Ravenstein's observations, Zipf [2] formalized the mathematical Gravity Model of Human Interaction, asserting that the aggregate volume of interstate migration between two distinct geographic entities is directly proportional to the product of their respective population masses and inversely proportional to the physical distance separating their centroids.</w:t>
      </w:r>
    </w:p>
    <w:p w14:paraId="741A5C6D" w14:textId="77777777" w:rsidR="003774C2" w:rsidRDefault="00000000">
      <w:pPr>
        <w:jc w:val="both"/>
      </w:pPr>
      <w:r>
        <w:rPr>
          <w:color w:val="1F242E"/>
        </w:rPr>
        <w:t>During the subsequent decades, Lowry [3] expanded spatial gravity models by incorporating regional economic indicators—specifically manufacturing wages, regional unemployment differentials, and civic labor force participation rates. However, classical gravity formulations suffer from inherent mathematical limitations when applied to modern post-industrial economies. As highlighted by Molloy, Smith, and Wozniak [4] in their authoritative analysis published in the Journal of Economic Perspectives, aggregate internal migration rates within the United States have exhibited a secular downward decline since the late 1980s, despite radical reductions in transportation costs and unprecedented expansions in telecommunications. Molloy et al. demonstrated that macro-level gravity formulations fail to capture internal workforce heterogeneity, such as the rapid growth of dual-earner households, homeownership lock-in effects, and employer-specific human capital.</w:t>
      </w:r>
    </w:p>
    <w:p w14:paraId="3258AE52" w14:textId="77777777" w:rsidR="003774C2" w:rsidRDefault="00000000">
      <w:pPr>
        <w:jc w:val="both"/>
      </w:pPr>
      <w:r>
        <w:rPr>
          <w:color w:val="1F242E"/>
        </w:rPr>
        <w:t>In a related empirical investigation, Plane and Rogerson [5] examined longitudinal changes in interregional migration streams across U.S. census divisions. They concluded that while gravity-based flow models remain valuable for macroscopic demographic accounting, their predictive validity breaks down during structural economic transitions because they treat entire state populations as homogenous masses, ignoring the micro-level demographic profiles that dictate whether an individual will actually relocate.</w:t>
      </w:r>
    </w:p>
    <w:p w14:paraId="0F2448D9" w14:textId="77777777" w:rsidR="003774C2" w:rsidRDefault="00000000">
      <w:pPr>
        <w:keepNext/>
        <w:spacing w:before="200" w:after="60"/>
      </w:pPr>
      <w:r>
        <w:rPr>
          <w:b/>
          <w:color w:val="0F306E"/>
        </w:rPr>
        <w:t>2.1.2 Micro-Level Survey Analytics and Census Microdata Utilization</w:t>
      </w:r>
    </w:p>
    <w:p w14:paraId="7E0B6420" w14:textId="77777777" w:rsidR="003774C2" w:rsidRDefault="00000000">
      <w:pPr>
        <w:jc w:val="both"/>
      </w:pPr>
      <w:r>
        <w:rPr>
          <w:color w:val="1F242E"/>
        </w:rPr>
        <w:t>To overcome the ecological fallacies inherent in macroscopic gravity equations, demographic researchers transitioned toward individual-level microdata sampling. Foremost among public research repositories is the Integrated Public Use Microdata Series (IPUMS), curated by Steven Ruggles and colleagues at the Minnesota Population Center [6]. Ruggles et al. developed standardized harmonization protocols that normalize variable definitions, occupational classifications, and geographic coding across decades of the U.S. Current Population Survey (CPS) Annual Social and Economic Supplement (ASEC).</w:t>
      </w:r>
    </w:p>
    <w:p w14:paraId="160D21C7" w14:textId="77777777" w:rsidR="003774C2" w:rsidRDefault="00000000">
      <w:pPr>
        <w:jc w:val="both"/>
      </w:pPr>
      <w:r>
        <w:rPr>
          <w:color w:val="1F242E"/>
        </w:rPr>
        <w:lastRenderedPageBreak/>
        <w:t>Utilizing harmonized CPS microdata, Greenwood [7] conducted extensive econometric studies on the individual determinants of human capital mobility. Greenwood established that chronological age is the single most powerful universal predictor of geographic relocation: young adults in their early twenties to mid-thirties exhibit relocation rates more than triple those observed among mature individuals aged 50 and above. This lifecycle dynamic is primarily driven by career initiation, educational completion, and lower asset accumulation. However, Greenwood's classical econometric formulations were largely retrospective and focused on descriptive elasticity coefficients rather than out-of-sample predictive classification.</w:t>
      </w:r>
    </w:p>
    <w:p w14:paraId="10D59667" w14:textId="77777777" w:rsidR="003774C2" w:rsidRDefault="00000000">
      <w:pPr>
        <w:jc w:val="both"/>
      </w:pPr>
      <w:r>
        <w:rPr>
          <w:color w:val="1F242E"/>
        </w:rPr>
        <w:t>More recently, Black et al. [8] harnessed ACS individual microdata to examine how regional housing cost shocks and localized wage gains influence the sorting behavior of workers across skill distributions. Their findings indicated that college-educated knowledge workers exhibit substantially higher geographic mobility in response to localized earnings premiums, whereas lower-income workers are increasingly displaced from high-productivity metropolitan areas due to escalating shelter costs. While Black et al. provided vital descriptive insights, their statistical modeling was confined to static panel regressions that did not synthesize multi-year directional flow momentum with individual survey indicators.</w:t>
      </w:r>
    </w:p>
    <w:p w14:paraId="6CF7AF5A" w14:textId="77777777" w:rsidR="003774C2" w:rsidRDefault="00000000">
      <w:pPr>
        <w:keepNext/>
        <w:spacing w:before="200" w:after="60"/>
      </w:pPr>
      <w:r>
        <w:rPr>
          <w:b/>
          <w:color w:val="0F306E"/>
        </w:rPr>
        <w:t>2.1.3 Machine Learning Applications in Spatial Mobility Prediction</w:t>
      </w:r>
    </w:p>
    <w:p w14:paraId="750F09E7" w14:textId="77777777" w:rsidR="003774C2" w:rsidRDefault="00000000">
      <w:pPr>
        <w:jc w:val="both"/>
      </w:pPr>
      <w:r>
        <w:rPr>
          <w:color w:val="1F242E"/>
        </w:rPr>
        <w:t>Over the past decade, the rapid maturation of statistical machine learning algorithms and open-source scientific computing frameworks—most notably Scikit-Learn engineered by Pedregosa et al. [9]—has catalyzed a paradigm shift in spatial analytics. Researchers have increasingly abandoned restrictive parametric assumptions in favor of regularized classification engines capable of handling high-dimensional demographic matrices without overfitting.</w:t>
      </w:r>
    </w:p>
    <w:p w14:paraId="5CFBC6A5" w14:textId="77777777" w:rsidR="003774C2" w:rsidRDefault="00000000">
      <w:pPr>
        <w:jc w:val="both"/>
      </w:pPr>
      <w:r>
        <w:rPr>
          <w:color w:val="1F242E"/>
        </w:rPr>
        <w:t>Hastie, Tibshirani, and Friedman [10] established the foundational mathematical theory underlying regularized generalized linear models, demonstrating that L2 (Ridge) and L1 (Lasso) penalties effectively stabilize regression coefficients in the presence of multicollinear predictors. In demographic modeling, where household income, educational attainment, occupational status, and age exhibit moderate cross-correlations, regularization prevents coefficient inflation and preserves out-of-sample generalization accuracy.</w:t>
      </w:r>
    </w:p>
    <w:p w14:paraId="42009F27" w14:textId="77777777" w:rsidR="003774C2" w:rsidRDefault="00000000">
      <w:pPr>
        <w:jc w:val="both"/>
      </w:pPr>
      <w:r>
        <w:rPr>
          <w:color w:val="1F242E"/>
        </w:rPr>
        <w:t>In an applied machine learning study, Robinson et al. [11] deployed gradient boosting algorithms to model internal migration within the United Kingdom using census records, reporting substantial gains in classification accuracy over traditional unregularized logistic regression. However, Robinson et al. noted that non-parametric tree ensembles frequently operate as uninterpretable 'black boxes', severely impeding their adoption by public sector civil servants who require clear odds ratios and transparent feature importances to defend statutory policy interventions before legislative committees. Regularized Logistic Regression bridges this divide by delivering mathematically interpretable log-odds coefficients while retaining competitive classification power.</w:t>
      </w:r>
    </w:p>
    <w:p w14:paraId="2CE674A2" w14:textId="77777777" w:rsidR="003774C2" w:rsidRDefault="00000000">
      <w:pPr>
        <w:keepNext/>
        <w:spacing w:before="200" w:after="60"/>
      </w:pPr>
      <w:r>
        <w:rPr>
          <w:b/>
          <w:color w:val="0F306E"/>
        </w:rPr>
        <w:t>2.1.4 Fiscal Impact, Tax Base Erosion, and Municipal Infrastructure Stress</w:t>
      </w:r>
    </w:p>
    <w:p w14:paraId="2015400C" w14:textId="77777777" w:rsidR="003774C2" w:rsidRDefault="00000000">
      <w:pPr>
        <w:jc w:val="both"/>
      </w:pPr>
      <w:r>
        <w:rPr>
          <w:color w:val="1F242E"/>
        </w:rPr>
        <w:t>The third critical thematic pillar addresses the socio-economic and public finance consequences of demographic attrition. William H. Frey [12], in his extensive series of monographs published by the Brookings Institution Metropolitan Policy Program, documented the accelerating polarization of U.S. population movements over the 2010–2020 decade. Frey identified an unprecedented exodus of residents from high-density, high-tax northern and midwestern metropolitan regions toward lower-density southern and southwestern hubs, driven by divergent housing costs, climate amenities, and localized economic growth.</w:t>
      </w:r>
    </w:p>
    <w:p w14:paraId="6A46D3FD" w14:textId="77777777" w:rsidR="003774C2" w:rsidRDefault="00000000">
      <w:pPr>
        <w:jc w:val="both"/>
      </w:pPr>
      <w:r>
        <w:rPr>
          <w:color w:val="1F242E"/>
        </w:rPr>
        <w:lastRenderedPageBreak/>
        <w:t>The theoretical mechanism governing this regional sorting was originally conceptualized by Charles Tiebout [13] in his seminal paper 'A Pure Theory of Local Expenditures'. The Tiebout Hypothesis posits that mobile citizen-consumers 'vote with their feet' by relocating to jurisdictions whose specific bundle of public tax rates and civic amenities optimally satisfies their personal utility preferences. In a modern empirical appraisal of the Tiebout hypothesis, Rauh and Shyu [14] tracked the migration decisions of high-income California taxpayers following the enactment of Proposition 30 (which raised top marginal state income tax rates to 13.3%). Rauh and Shyu demonstrated statistically significant increases in out-migration among top earners toward zero-income-tax states such as Texas, Nevada, and Florida, directly diminishing state tax yield relative to baseline revenue forecasts.</w:t>
      </w:r>
    </w:p>
    <w:p w14:paraId="3A3F83A0" w14:textId="77777777" w:rsidR="003774C2" w:rsidRDefault="00000000">
      <w:pPr>
        <w:jc w:val="both"/>
      </w:pPr>
      <w:r>
        <w:rPr>
          <w:color w:val="1F242E"/>
        </w:rPr>
        <w:t>Complementary research by Banzhaf and Walsh [15] analyzed the localized infrastructure impacts of Tiebout sorting, demonstrating that rapid population outflows leave origin municipalities saddled with stranded capital debt for civic water systems, roadway networks, and educational facilities that were sized for larger historical populations. This literature underscores the acute necessity for early-warning predictive analytics that alert public treasuries to emerging flight momentum years before municipal bond downgrades occur.</w:t>
      </w:r>
    </w:p>
    <w:p w14:paraId="31A96E7D" w14:textId="77777777" w:rsidR="003774C2" w:rsidRDefault="00000000">
      <w:pPr>
        <w:keepNext/>
        <w:spacing w:before="280" w:after="80"/>
      </w:pPr>
      <w:r>
        <w:rPr>
          <w:b/>
          <w:color w:val="2B4C7E"/>
          <w:sz w:val="26"/>
        </w:rPr>
        <w:t>2.2 Outcome and Synthesis of Literature Survey</w:t>
      </w:r>
    </w:p>
    <w:p w14:paraId="4C007153" w14:textId="77777777" w:rsidR="003774C2" w:rsidRDefault="00000000">
      <w:pPr>
        <w:jc w:val="both"/>
      </w:pPr>
      <w:r>
        <w:rPr>
          <w:color w:val="1F242E"/>
        </w:rPr>
        <w:t>A critical synthesis of the reviewed scholarship reveals that while macro-level flow theory and micro-level survey econometrics have both advanced substantially, they have evolved along isolated, non-intersecting tracks. Table 2.1 summarizes the contemporary literature, contrasting respective methodologies, sample volumes, and operational limitations.</w:t>
      </w:r>
    </w:p>
    <w:tbl>
      <w:tblPr>
        <w:tblStyle w:val="LightGrid-Accent1"/>
        <w:tblW w:w="0" w:type="auto"/>
        <w:jc w:val="center"/>
        <w:tblLook w:val="04A0" w:firstRow="1" w:lastRow="0" w:firstColumn="1" w:lastColumn="0" w:noHBand="0" w:noVBand="1"/>
      </w:tblPr>
      <w:tblGrid>
        <w:gridCol w:w="2160"/>
        <w:gridCol w:w="2592"/>
        <w:gridCol w:w="2304"/>
        <w:gridCol w:w="2592"/>
      </w:tblGrid>
      <w:tr w:rsidR="003774C2" w14:paraId="2B6988A1"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0854AB" w14:textId="77777777" w:rsidR="003774C2" w:rsidRDefault="00000000">
            <w:pPr>
              <w:jc w:val="center"/>
            </w:pPr>
            <w:r>
              <w:rPr>
                <w:color w:val="0F306E"/>
                <w:sz w:val="22"/>
              </w:rPr>
              <w:t>Authors &amp; Year</w:t>
            </w:r>
          </w:p>
        </w:tc>
        <w:tc>
          <w:tcPr>
            <w:tcW w:w="2592" w:type="dxa"/>
          </w:tcPr>
          <w:p w14:paraId="02A503F5"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Methodology / Approach</w:t>
            </w:r>
          </w:p>
        </w:tc>
        <w:tc>
          <w:tcPr>
            <w:tcW w:w="2304" w:type="dxa"/>
          </w:tcPr>
          <w:p w14:paraId="0F958DB2"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Data Scope / Volume</w:t>
            </w:r>
          </w:p>
        </w:tc>
        <w:tc>
          <w:tcPr>
            <w:tcW w:w="2592" w:type="dxa"/>
          </w:tcPr>
          <w:p w14:paraId="7769A846"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Key Finding / Limitation</w:t>
            </w:r>
          </w:p>
        </w:tc>
      </w:tr>
      <w:tr w:rsidR="003774C2" w14:paraId="58E9CF7A"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AB646E" w14:textId="77777777" w:rsidR="003774C2" w:rsidRDefault="00000000">
            <w:pPr>
              <w:spacing w:after="40" w:line="276" w:lineRule="auto"/>
            </w:pPr>
            <w:r>
              <w:rPr>
                <w:color w:val="1F242E"/>
                <w:sz w:val="21"/>
              </w:rPr>
              <w:t>Ravenstein (1885)</w:t>
            </w:r>
            <w:r>
              <w:rPr>
                <w:color w:val="1F242E"/>
                <w:sz w:val="21"/>
              </w:rPr>
              <w:br/>
              <w:t>Zipf (1946)</w:t>
            </w:r>
          </w:p>
        </w:tc>
        <w:tc>
          <w:tcPr>
            <w:tcW w:w="2592" w:type="dxa"/>
          </w:tcPr>
          <w:p w14:paraId="6C387E9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Macro Spatial Gravity Model</w:t>
            </w:r>
            <w:r>
              <w:rPr>
                <w:color w:val="1F242E"/>
                <w:sz w:val="21"/>
              </w:rPr>
              <w:br/>
              <w:t>(Distance vs. Mass)</w:t>
            </w:r>
          </w:p>
        </w:tc>
        <w:tc>
          <w:tcPr>
            <w:tcW w:w="2304" w:type="dxa"/>
          </w:tcPr>
          <w:p w14:paraId="4E5C59C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Historic census flows;</w:t>
            </w:r>
            <w:r>
              <w:rPr>
                <w:color w:val="1F242E"/>
                <w:sz w:val="21"/>
              </w:rPr>
              <w:br/>
              <w:t>National totals</w:t>
            </w:r>
          </w:p>
        </w:tc>
        <w:tc>
          <w:tcPr>
            <w:tcW w:w="2592" w:type="dxa"/>
          </w:tcPr>
          <w:p w14:paraId="47EC8CFE"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Established inverse-distance laws; treated populations as homogenous masses.</w:t>
            </w:r>
          </w:p>
        </w:tc>
      </w:tr>
      <w:tr w:rsidR="003774C2" w14:paraId="39ED351B"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C9680B" w14:textId="77777777" w:rsidR="003774C2" w:rsidRDefault="00000000">
            <w:pPr>
              <w:spacing w:after="40" w:line="276" w:lineRule="auto"/>
            </w:pPr>
            <w:r>
              <w:rPr>
                <w:color w:val="1F242E"/>
                <w:sz w:val="21"/>
              </w:rPr>
              <w:t>Lowry (1966)</w:t>
            </w:r>
            <w:r>
              <w:rPr>
                <w:color w:val="1F242E"/>
                <w:sz w:val="21"/>
              </w:rPr>
              <w:br/>
              <w:t>Plane et al. (2001)</w:t>
            </w:r>
          </w:p>
        </w:tc>
        <w:tc>
          <w:tcPr>
            <w:tcW w:w="2592" w:type="dxa"/>
          </w:tcPr>
          <w:p w14:paraId="75A936F9"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Augmented Gravity Models with</w:t>
            </w:r>
            <w:r>
              <w:rPr>
                <w:color w:val="1F242E"/>
                <w:sz w:val="21"/>
              </w:rPr>
              <w:br/>
              <w:t>Economic Variables</w:t>
            </w:r>
          </w:p>
        </w:tc>
        <w:tc>
          <w:tcPr>
            <w:tcW w:w="2304" w:type="dxa"/>
          </w:tcPr>
          <w:p w14:paraId="77AEEB82"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Aggregate state-to-state</w:t>
            </w:r>
            <w:r>
              <w:rPr>
                <w:color w:val="1F242E"/>
                <w:sz w:val="21"/>
              </w:rPr>
              <w:br/>
              <w:t>annual flow matrices</w:t>
            </w:r>
          </w:p>
        </w:tc>
        <w:tc>
          <w:tcPr>
            <w:tcW w:w="2592" w:type="dxa"/>
          </w:tcPr>
          <w:p w14:paraId="0C8DE094"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Added wage/job variables; suffers from severe 18-36 month temporal reporting lag.</w:t>
            </w:r>
          </w:p>
        </w:tc>
      </w:tr>
      <w:tr w:rsidR="003774C2" w14:paraId="7F588C8E"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1B0E25" w14:textId="77777777" w:rsidR="003774C2" w:rsidRDefault="00000000">
            <w:pPr>
              <w:spacing w:after="40" w:line="276" w:lineRule="auto"/>
            </w:pPr>
            <w:r>
              <w:rPr>
                <w:color w:val="1F242E"/>
                <w:sz w:val="21"/>
              </w:rPr>
              <w:t>Molloy, Smith &amp;</w:t>
            </w:r>
            <w:r>
              <w:rPr>
                <w:color w:val="1F242E"/>
                <w:sz w:val="21"/>
              </w:rPr>
              <w:br/>
              <w:t>Wozniak (2011)</w:t>
            </w:r>
          </w:p>
        </w:tc>
        <w:tc>
          <w:tcPr>
            <w:tcW w:w="2592" w:type="dxa"/>
          </w:tcPr>
          <w:p w14:paraId="14FA8A45"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Macro Econometric Panel</w:t>
            </w:r>
            <w:r>
              <w:rPr>
                <w:color w:val="1F242E"/>
                <w:sz w:val="21"/>
              </w:rPr>
              <w:br/>
              <w:t>Analysis (JEP)</w:t>
            </w:r>
          </w:p>
        </w:tc>
        <w:tc>
          <w:tcPr>
            <w:tcW w:w="2304" w:type="dxa"/>
          </w:tcPr>
          <w:p w14:paraId="6A9730F6"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Longitudinal CPS &amp;</w:t>
            </w:r>
            <w:r>
              <w:rPr>
                <w:color w:val="1F242E"/>
                <w:sz w:val="21"/>
              </w:rPr>
              <w:br/>
              <w:t>IRS aggregate flows</w:t>
            </w:r>
          </w:p>
        </w:tc>
        <w:tc>
          <w:tcPr>
            <w:tcW w:w="2592" w:type="dxa"/>
          </w:tcPr>
          <w:p w14:paraId="453E3A8A"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Documented secular decline in US mobility; lacked individual predictive classification.</w:t>
            </w:r>
          </w:p>
        </w:tc>
      </w:tr>
      <w:tr w:rsidR="003774C2" w14:paraId="1AF15CC6"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152E48" w14:textId="77777777" w:rsidR="003774C2" w:rsidRDefault="00000000">
            <w:pPr>
              <w:spacing w:after="40" w:line="276" w:lineRule="auto"/>
            </w:pPr>
            <w:r>
              <w:rPr>
                <w:color w:val="1F242E"/>
                <w:sz w:val="21"/>
              </w:rPr>
              <w:t>Ruggles et al. (2024)</w:t>
            </w:r>
            <w:r>
              <w:rPr>
                <w:color w:val="1F242E"/>
                <w:sz w:val="21"/>
              </w:rPr>
              <w:br/>
              <w:t>Greenwood (1997)</w:t>
            </w:r>
          </w:p>
        </w:tc>
        <w:tc>
          <w:tcPr>
            <w:tcW w:w="2592" w:type="dxa"/>
          </w:tcPr>
          <w:p w14:paraId="5E9D3C06"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Harmonized Microdata</w:t>
            </w:r>
            <w:r>
              <w:rPr>
                <w:color w:val="1F242E"/>
                <w:sz w:val="21"/>
              </w:rPr>
              <w:br/>
              <w:t>Econometric Regressions</w:t>
            </w:r>
          </w:p>
        </w:tc>
        <w:tc>
          <w:tcPr>
            <w:tcW w:w="2304" w:type="dxa"/>
          </w:tcPr>
          <w:p w14:paraId="5114910A"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IPUMS CPS survey samples</w:t>
            </w:r>
            <w:r>
              <w:rPr>
                <w:color w:val="1F242E"/>
                <w:sz w:val="21"/>
              </w:rPr>
              <w:br/>
              <w:t>(millions of records)</w:t>
            </w:r>
          </w:p>
        </w:tc>
        <w:tc>
          <w:tcPr>
            <w:tcW w:w="2592" w:type="dxa"/>
          </w:tcPr>
          <w:p w14:paraId="1D0D1BD4"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Proved age &amp; education drive mobility; focused on retrospective descriptive coefficients.</w:t>
            </w:r>
          </w:p>
        </w:tc>
      </w:tr>
      <w:tr w:rsidR="003774C2" w14:paraId="6651E615"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80D9B8" w14:textId="77777777" w:rsidR="003774C2" w:rsidRDefault="00000000">
            <w:pPr>
              <w:spacing w:after="40" w:line="276" w:lineRule="auto"/>
            </w:pPr>
            <w:r>
              <w:rPr>
                <w:color w:val="1F242E"/>
                <w:sz w:val="21"/>
              </w:rPr>
              <w:t>Pedregosa et al. (2011)</w:t>
            </w:r>
            <w:r>
              <w:rPr>
                <w:color w:val="1F242E"/>
                <w:sz w:val="21"/>
              </w:rPr>
              <w:br/>
              <w:t>Hastie et al. (2009)</w:t>
            </w:r>
          </w:p>
        </w:tc>
        <w:tc>
          <w:tcPr>
            <w:tcW w:w="2592" w:type="dxa"/>
          </w:tcPr>
          <w:p w14:paraId="422D2DC1"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Regularized Generalized Linear</w:t>
            </w:r>
            <w:r>
              <w:rPr>
                <w:color w:val="1F242E"/>
                <w:sz w:val="21"/>
              </w:rPr>
              <w:br/>
              <w:t>Models (L1/L2)</w:t>
            </w:r>
          </w:p>
        </w:tc>
        <w:tc>
          <w:tcPr>
            <w:tcW w:w="2304" w:type="dxa"/>
          </w:tcPr>
          <w:p w14:paraId="5A410AA5"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Theoretical and applied ML</w:t>
            </w:r>
            <w:r>
              <w:rPr>
                <w:color w:val="1F242E"/>
                <w:sz w:val="21"/>
              </w:rPr>
              <w:br/>
              <w:t>benchmarks</w:t>
            </w:r>
          </w:p>
        </w:tc>
        <w:tc>
          <w:tcPr>
            <w:tcW w:w="2592" w:type="dxa"/>
          </w:tcPr>
          <w:p w14:paraId="0C424B5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Established mathematical stability of Ridge/Lasso regularization in collinear datasets.</w:t>
            </w:r>
          </w:p>
        </w:tc>
      </w:tr>
      <w:tr w:rsidR="003774C2" w14:paraId="723CF542"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F48F6A" w14:textId="77777777" w:rsidR="003774C2" w:rsidRDefault="00000000">
            <w:pPr>
              <w:spacing w:after="40" w:line="276" w:lineRule="auto"/>
            </w:pPr>
            <w:r>
              <w:rPr>
                <w:color w:val="1F242E"/>
                <w:sz w:val="21"/>
              </w:rPr>
              <w:t>Frey (2019)</w:t>
            </w:r>
            <w:r>
              <w:rPr>
                <w:color w:val="1F242E"/>
                <w:sz w:val="21"/>
              </w:rPr>
              <w:br/>
              <w:t>Rauh &amp; Shyu (2021)</w:t>
            </w:r>
          </w:p>
        </w:tc>
        <w:tc>
          <w:tcPr>
            <w:tcW w:w="2592" w:type="dxa"/>
          </w:tcPr>
          <w:p w14:paraId="372EC2E7"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Tiebout Sorting &amp; Empirical</w:t>
            </w:r>
            <w:r>
              <w:rPr>
                <w:color w:val="1F242E"/>
                <w:sz w:val="21"/>
              </w:rPr>
              <w:br/>
              <w:t>Fiscal Impact Studies</w:t>
            </w:r>
          </w:p>
        </w:tc>
        <w:tc>
          <w:tcPr>
            <w:tcW w:w="2304" w:type="dxa"/>
          </w:tcPr>
          <w:p w14:paraId="17F7F941"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IRS tax returns and</w:t>
            </w:r>
            <w:r>
              <w:rPr>
                <w:color w:val="1F242E"/>
                <w:sz w:val="21"/>
              </w:rPr>
              <w:br/>
              <w:t>regional census tables</w:t>
            </w:r>
          </w:p>
        </w:tc>
        <w:tc>
          <w:tcPr>
            <w:tcW w:w="2592" w:type="dxa"/>
          </w:tcPr>
          <w:p w14:paraId="1F21E438"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 xml:space="preserve">Proved high taxes drive high-earner flight; lacked real-time predictive </w:t>
            </w:r>
            <w:r>
              <w:rPr>
                <w:color w:val="1F242E"/>
                <w:sz w:val="21"/>
              </w:rPr>
              <w:lastRenderedPageBreak/>
              <w:t>decision UI.</w:t>
            </w:r>
          </w:p>
        </w:tc>
      </w:tr>
    </w:tbl>
    <w:p w14:paraId="2799D8AB" w14:textId="77777777" w:rsidR="003774C2" w:rsidRDefault="003774C2"/>
    <w:p w14:paraId="5419DCFB" w14:textId="77777777" w:rsidR="003774C2" w:rsidRDefault="00000000">
      <w:pPr>
        <w:jc w:val="both"/>
      </w:pPr>
      <w:r>
        <w:rPr>
          <w:color w:val="1F242E"/>
        </w:rPr>
        <w:t>The synthesis reveals three glaring gaps in the existing body of knowledge:</w:t>
      </w:r>
    </w:p>
    <w:p w14:paraId="7F3F603F" w14:textId="77777777" w:rsidR="003774C2" w:rsidRDefault="00000000">
      <w:pPr>
        <w:pStyle w:val="ListBullet"/>
        <w:spacing w:after="80" w:line="288" w:lineRule="auto"/>
      </w:pPr>
      <w:r>
        <w:rPr>
          <w:b/>
          <w:color w:val="0F306E"/>
        </w:rPr>
        <w:t xml:space="preserve">Gap 1: Retrospective Reporting Lag: </w:t>
      </w:r>
      <w:r>
        <w:rPr>
          <w:color w:val="1F242E"/>
        </w:rPr>
        <w:t>Existing government reports rely exclusively on historic census releases that document relocations years after human capital has permanently departed.</w:t>
      </w:r>
    </w:p>
    <w:p w14:paraId="3D5C53A3" w14:textId="77777777" w:rsidR="003774C2" w:rsidRDefault="00000000">
      <w:pPr>
        <w:pStyle w:val="ListBullet"/>
        <w:spacing w:after="80" w:line="288" w:lineRule="auto"/>
      </w:pPr>
      <w:r>
        <w:rPr>
          <w:b/>
          <w:color w:val="0F306E"/>
        </w:rPr>
        <w:t xml:space="preserve">Gap 2: Micro-Macro Disconnection: </w:t>
      </w:r>
      <w:r>
        <w:rPr>
          <w:color w:val="1F242E"/>
        </w:rPr>
        <w:t>Macro flow matrices and micro survey microdata have historically been analyzed in silos. Macro models ignore individual demographic archetypes, while micro econometric studies ignore regional migration pressure and spatial momentum.</w:t>
      </w:r>
    </w:p>
    <w:p w14:paraId="1A016CB5" w14:textId="77777777" w:rsidR="003774C2" w:rsidRDefault="00000000">
      <w:pPr>
        <w:pStyle w:val="ListBullet"/>
        <w:spacing w:after="80" w:line="288" w:lineRule="auto"/>
      </w:pPr>
      <w:r>
        <w:rPr>
          <w:b/>
          <w:color w:val="0F306E"/>
        </w:rPr>
        <w:t xml:space="preserve">Gap 3: Absence of Operational Decision-Support Tools: </w:t>
      </w:r>
      <w:r>
        <w:rPr>
          <w:color w:val="1F242E"/>
        </w:rPr>
        <w:t>No standardized open-source platform exists that bridges advanced regularized machine learning with an accessible, interactive administrative dashboard designed for public sector decision-makers.</w:t>
      </w:r>
    </w:p>
    <w:p w14:paraId="43B42316" w14:textId="77777777" w:rsidR="003774C2" w:rsidRDefault="00000000">
      <w:pPr>
        <w:keepNext/>
        <w:spacing w:before="280" w:after="80"/>
      </w:pPr>
      <w:r>
        <w:rPr>
          <w:b/>
          <w:color w:val="2B4C7E"/>
          <w:sz w:val="26"/>
        </w:rPr>
        <w:t>2.3 Problem Statement, Project Aim, and Specific Research Objectives</w:t>
      </w:r>
    </w:p>
    <w:p w14:paraId="70B2D9D5" w14:textId="77777777" w:rsidR="003774C2" w:rsidRDefault="00000000">
      <w:pPr>
        <w:jc w:val="both"/>
      </w:pPr>
      <w:r>
        <w:rPr>
          <w:color w:val="1F242E"/>
        </w:rPr>
        <w:t>Problem Statement: State and municipal governments lack proactive, predictive analytics instruments to forecast population flight risks. Constrained by retrospective census releases and siloed demographic datasets, public sector administrators cannot identify which citizen demographic segments are most vulnerable to relocation from specific jurisdictions, resulting in unmitigated municipal tax base erosion, workforce attrition, and stranded public infrastructure capital.</w:t>
      </w:r>
    </w:p>
    <w:p w14:paraId="185BAE3A" w14:textId="77777777" w:rsidR="003774C2" w:rsidRDefault="00000000">
      <w:pPr>
        <w:jc w:val="both"/>
      </w:pPr>
      <w:r>
        <w:rPr>
          <w:color w:val="1F242E"/>
        </w:rPr>
        <w:t>Project Aim: To design, train, validate, and deploy an end-to-end predictive demographic intelligence platform that unifies 10 years of U.S. Census Bureau state-to-state flow matrices with 1.4 million IPUMS CPS individual records to forecast relocation probabilities and benchmark state-level migration pressure through a commercial-grade interactive dashboard.</w:t>
      </w:r>
    </w:p>
    <w:p w14:paraId="1037A5A4" w14:textId="77777777" w:rsidR="003774C2" w:rsidRDefault="00000000">
      <w:pPr>
        <w:jc w:val="both"/>
      </w:pPr>
      <w:r>
        <w:rPr>
          <w:color w:val="1F242E"/>
        </w:rPr>
        <w:t>Specific Research Objectives:</w:t>
      </w:r>
    </w:p>
    <w:p w14:paraId="41DA2B64" w14:textId="77777777" w:rsidR="003774C2" w:rsidRDefault="00000000">
      <w:pPr>
        <w:pStyle w:val="ListBullet"/>
        <w:spacing w:after="80" w:line="288" w:lineRule="auto"/>
      </w:pPr>
      <w:r>
        <w:rPr>
          <w:b/>
          <w:color w:val="0F306E"/>
        </w:rPr>
        <w:t xml:space="preserve">Objective 1 (Data ETL): </w:t>
      </w:r>
      <w:r>
        <w:rPr>
          <w:color w:val="1F242E"/>
        </w:rPr>
        <w:t>Extract, clean, and normalize multi-header Census ACS migration flow matrices spanning 2010 through 2019 into a unified, tidy longitudinal database covering all 51 U.S. jurisdictions.</w:t>
      </w:r>
    </w:p>
    <w:p w14:paraId="69BF789D" w14:textId="77777777" w:rsidR="003774C2" w:rsidRDefault="00000000">
      <w:pPr>
        <w:pStyle w:val="ListBullet"/>
        <w:spacing w:after="80" w:line="288" w:lineRule="auto"/>
      </w:pPr>
      <w:r>
        <w:rPr>
          <w:b/>
          <w:color w:val="0F306E"/>
        </w:rPr>
        <w:t xml:space="preserve">Objective 2 (Feature Engineering): </w:t>
      </w:r>
      <w:r>
        <w:rPr>
          <w:color w:val="1F242E"/>
        </w:rPr>
        <w:t>Derive and formulate the Migration Pressure Index (MPI) to quantify directional demographic flight momentum normalized across relative population scales.</w:t>
      </w:r>
    </w:p>
    <w:p w14:paraId="7182FE57" w14:textId="77777777" w:rsidR="003774C2" w:rsidRDefault="00000000">
      <w:pPr>
        <w:pStyle w:val="ListBullet"/>
        <w:spacing w:after="80" w:line="288" w:lineRule="auto"/>
      </w:pPr>
      <w:r>
        <w:rPr>
          <w:b/>
          <w:color w:val="0F306E"/>
        </w:rPr>
        <w:t xml:space="preserve">Objective 3 (Microdata Ingestion): </w:t>
      </w:r>
      <w:r>
        <w:rPr>
          <w:color w:val="1F242E"/>
        </w:rPr>
        <w:t>Ingest and filter over 1.4 million individual survey microdata records from the IPUMS CPS repository, mapping demographic, economic, and occupational attributes.</w:t>
      </w:r>
    </w:p>
    <w:p w14:paraId="4964519B" w14:textId="77777777" w:rsidR="003774C2" w:rsidRDefault="00000000">
      <w:pPr>
        <w:pStyle w:val="ListBullet"/>
        <w:spacing w:after="80" w:line="288" w:lineRule="auto"/>
      </w:pPr>
      <w:r>
        <w:rPr>
          <w:b/>
          <w:color w:val="0F306E"/>
        </w:rPr>
        <w:t xml:space="preserve">Objective 4 (Model Optimization): </w:t>
      </w:r>
      <w:r>
        <w:rPr>
          <w:color w:val="1F242E"/>
        </w:rPr>
        <w:t>Train an L2 regularized Logistic Regression classifier evaluated on a strict temporal holdout split (Train: 2010–2017, Test: 2018–2019), targeting an ROC-AUC score exceeding the 0.70 demographic industry benchmark.</w:t>
      </w:r>
    </w:p>
    <w:p w14:paraId="289B86D8" w14:textId="77777777" w:rsidR="003774C2" w:rsidRDefault="00000000">
      <w:pPr>
        <w:pStyle w:val="ListBullet"/>
        <w:spacing w:after="80" w:line="288" w:lineRule="auto"/>
      </w:pPr>
      <w:r>
        <w:rPr>
          <w:b/>
          <w:color w:val="0F306E"/>
        </w:rPr>
        <w:t xml:space="preserve">Objective 5 (Full-Stack Deployment): </w:t>
      </w:r>
      <w:r>
        <w:rPr>
          <w:color w:val="1F242E"/>
        </w:rPr>
        <w:t>Engineer a responsive, dual-theme (Dark/Light) React 19 administrative dashboard incorporating interactive geographic heatmaps, prediction tables, and a natural language AI Risk Copilot.</w:t>
      </w:r>
    </w:p>
    <w:p w14:paraId="7190D6A5" w14:textId="77777777" w:rsidR="003774C2" w:rsidRDefault="00000000">
      <w:r>
        <w:br w:type="page"/>
      </w:r>
    </w:p>
    <w:p w14:paraId="5C877166" w14:textId="77777777" w:rsidR="003774C2" w:rsidRDefault="00000000">
      <w:pPr>
        <w:keepNext/>
        <w:spacing w:before="360" w:after="80"/>
      </w:pPr>
      <w:r>
        <w:rPr>
          <w:b/>
          <w:color w:val="0F306E"/>
          <w:sz w:val="28"/>
        </w:rPr>
        <w:lastRenderedPageBreak/>
        <w:t>CHAPTER 3</w:t>
      </w:r>
      <w:r>
        <w:rPr>
          <w:b/>
          <w:color w:val="0F306E"/>
          <w:sz w:val="28"/>
        </w:rPr>
        <w:br/>
      </w:r>
      <w:r>
        <w:rPr>
          <w:b/>
          <w:color w:val="0F306E"/>
          <w:sz w:val="32"/>
        </w:rPr>
        <w:t>METHODOLOGY</w:t>
      </w:r>
    </w:p>
    <w:p w14:paraId="531640D4" w14:textId="77777777" w:rsidR="003774C2" w:rsidRDefault="00000000">
      <w:pPr>
        <w:keepNext/>
        <w:spacing w:before="280" w:after="80"/>
      </w:pPr>
      <w:r>
        <w:rPr>
          <w:b/>
          <w:color w:val="2B4C7E"/>
          <w:sz w:val="26"/>
        </w:rPr>
        <w:t>3.1 Proposed System Architecture and Processing Pipeline</w:t>
      </w:r>
    </w:p>
    <w:p w14:paraId="17C1D8A3" w14:textId="77777777" w:rsidR="003774C2" w:rsidRDefault="00000000">
      <w:pPr>
        <w:jc w:val="both"/>
      </w:pPr>
      <w:r>
        <w:rPr>
          <w:color w:val="1F242E"/>
        </w:rPr>
        <w:t>To satisfy the research objectives outlined in Section 2.3, this project implements a rigorous, decoupled five-tier system architecture: (1) Multi-Source Federal Data Ingestion, (2) Algorithmic Preprocessing and Cleaning, (3) Feature Engineering and Spatial Indexing, (4) Regularized Machine Learning Inference, and (5) Front-End Decision Support Delivery. Figure 3.1 illustrates the comprehensive end-to-end processing pipeline.</w:t>
      </w:r>
    </w:p>
    <w:p w14:paraId="02A0B3F8" w14:textId="77777777" w:rsidR="003774C2" w:rsidRDefault="00000000">
      <w:pPr>
        <w:spacing w:before="160" w:after="80"/>
        <w:jc w:val="center"/>
      </w:pPr>
      <w:r>
        <w:rPr>
          <w:noProof/>
        </w:rPr>
        <w:drawing>
          <wp:inline distT="0" distB="0" distL="0" distR="0" wp14:anchorId="385D95AD" wp14:editId="7943E4FC">
            <wp:extent cx="5303520" cy="350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5303520" cy="3507793"/>
                    </a:xfrm>
                    <a:prstGeom prst="rect">
                      <a:avLst/>
                    </a:prstGeom>
                  </pic:spPr>
                </pic:pic>
              </a:graphicData>
            </a:graphic>
          </wp:inline>
        </w:drawing>
      </w:r>
    </w:p>
    <w:p w14:paraId="45E8B900" w14:textId="09254E72" w:rsidR="006815CA" w:rsidRDefault="00000000" w:rsidP="006815CA">
      <w:pPr>
        <w:spacing w:after="240"/>
        <w:jc w:val="center"/>
      </w:pPr>
      <w:r>
        <w:rPr>
          <w:i/>
          <w:color w:val="555D6E"/>
          <w:sz w:val="21"/>
        </w:rPr>
        <w:t>Figure 3.1: Feature Importance and Pipeline Architecture Diagram</w:t>
      </w:r>
      <w:r w:rsidR="006815CA">
        <w:t xml:space="preserve">    </w:t>
      </w:r>
    </w:p>
    <w:p w14:paraId="4EA19F32" w14:textId="77777777" w:rsidR="006815CA" w:rsidRDefault="006815CA" w:rsidP="006815CA">
      <w:pPr>
        <w:spacing w:after="240"/>
        <w:jc w:val="center"/>
      </w:pPr>
    </w:p>
    <w:p w14:paraId="24DB5D48" w14:textId="77777777" w:rsidR="006815CA" w:rsidRDefault="006815CA" w:rsidP="006815CA">
      <w:pPr>
        <w:spacing w:after="240"/>
        <w:jc w:val="center"/>
      </w:pPr>
    </w:p>
    <w:p w14:paraId="38CCA7BF" w14:textId="77777777" w:rsidR="006815CA" w:rsidRDefault="006815CA" w:rsidP="006815CA">
      <w:pPr>
        <w:spacing w:after="240"/>
        <w:jc w:val="center"/>
      </w:pPr>
    </w:p>
    <w:p w14:paraId="66C3BD05" w14:textId="77777777" w:rsidR="006815CA" w:rsidRDefault="006815CA" w:rsidP="006815CA">
      <w:pPr>
        <w:spacing w:after="240"/>
        <w:jc w:val="center"/>
      </w:pPr>
    </w:p>
    <w:p w14:paraId="2D8884B7" w14:textId="77777777" w:rsidR="006815CA" w:rsidRDefault="006815CA" w:rsidP="006815CA">
      <w:pPr>
        <w:spacing w:after="240"/>
        <w:jc w:val="center"/>
      </w:pPr>
    </w:p>
    <w:p w14:paraId="77A2BA64" w14:textId="77777777" w:rsidR="006815CA" w:rsidRPr="006815CA" w:rsidRDefault="006815CA" w:rsidP="006815CA">
      <w:pPr>
        <w:spacing w:after="240"/>
        <w:jc w:val="center"/>
      </w:pPr>
    </w:p>
    <w:p w14:paraId="23D4AD0D" w14:textId="0430242E" w:rsidR="003774C2" w:rsidRDefault="00000000">
      <w:pPr>
        <w:keepNext/>
        <w:spacing w:before="280" w:after="80"/>
      </w:pPr>
      <w:r>
        <w:rPr>
          <w:b/>
          <w:color w:val="2B4C7E"/>
          <w:sz w:val="26"/>
        </w:rPr>
        <w:lastRenderedPageBreak/>
        <w:t>3.2 Authoritative Federal Data Acquisition and Preprocessing</w:t>
      </w:r>
    </w:p>
    <w:p w14:paraId="30FF9FDE" w14:textId="77777777" w:rsidR="003774C2" w:rsidRDefault="00000000">
      <w:pPr>
        <w:jc w:val="both"/>
      </w:pPr>
      <w:r>
        <w:rPr>
          <w:color w:val="1F242E"/>
        </w:rPr>
        <w:t>The integrity of any predictive statistical model is fundamentally bounded by the veracity and provenance of its underlying data. In strict compliance with academic standards, this research utilizes exclusively authoritative, non-synthetic federal demographic datasets summarized in Table 3.1.</w:t>
      </w:r>
    </w:p>
    <w:tbl>
      <w:tblPr>
        <w:tblStyle w:val="LightGrid-Accent1"/>
        <w:tblW w:w="0" w:type="auto"/>
        <w:jc w:val="center"/>
        <w:tblLook w:val="04A0" w:firstRow="1" w:lastRow="0" w:firstColumn="1" w:lastColumn="0" w:noHBand="0" w:noVBand="1"/>
      </w:tblPr>
      <w:tblGrid>
        <w:gridCol w:w="2160"/>
        <w:gridCol w:w="2304"/>
        <w:gridCol w:w="1728"/>
        <w:gridCol w:w="2160"/>
        <w:gridCol w:w="2016"/>
      </w:tblGrid>
      <w:tr w:rsidR="003774C2" w14:paraId="64F627B8"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A4E0D0" w14:textId="77777777" w:rsidR="003774C2" w:rsidRDefault="00000000">
            <w:pPr>
              <w:jc w:val="center"/>
            </w:pPr>
            <w:r>
              <w:rPr>
                <w:color w:val="0F306E"/>
                <w:sz w:val="22"/>
              </w:rPr>
              <w:t>Dataset Title</w:t>
            </w:r>
          </w:p>
        </w:tc>
        <w:tc>
          <w:tcPr>
            <w:tcW w:w="2304" w:type="dxa"/>
          </w:tcPr>
          <w:p w14:paraId="25516B3F"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Publishing Authority</w:t>
            </w:r>
          </w:p>
        </w:tc>
        <w:tc>
          <w:tcPr>
            <w:tcW w:w="1728" w:type="dxa"/>
          </w:tcPr>
          <w:p w14:paraId="3F8C2801"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Temporal Range</w:t>
            </w:r>
          </w:p>
        </w:tc>
        <w:tc>
          <w:tcPr>
            <w:tcW w:w="2160" w:type="dxa"/>
          </w:tcPr>
          <w:p w14:paraId="7EE77937"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Volume / Observations</w:t>
            </w:r>
          </w:p>
        </w:tc>
        <w:tc>
          <w:tcPr>
            <w:tcW w:w="2016" w:type="dxa"/>
          </w:tcPr>
          <w:p w14:paraId="11221E6E"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Format &amp; Access</w:t>
            </w:r>
          </w:p>
        </w:tc>
      </w:tr>
      <w:tr w:rsidR="003774C2" w14:paraId="2C3D45DF"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5E9BCE" w14:textId="77777777" w:rsidR="003774C2" w:rsidRDefault="00000000">
            <w:pPr>
              <w:spacing w:after="40" w:line="276" w:lineRule="auto"/>
            </w:pPr>
            <w:r>
              <w:rPr>
                <w:color w:val="1F242E"/>
                <w:sz w:val="21"/>
              </w:rPr>
              <w:t>State-to-State Migration Tables</w:t>
            </w:r>
          </w:p>
        </w:tc>
        <w:tc>
          <w:tcPr>
            <w:tcW w:w="2304" w:type="dxa"/>
          </w:tcPr>
          <w:p w14:paraId="128BFF23"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U.S. Census Bureau (ACS)</w:t>
            </w:r>
          </w:p>
        </w:tc>
        <w:tc>
          <w:tcPr>
            <w:tcW w:w="1728" w:type="dxa"/>
          </w:tcPr>
          <w:p w14:paraId="1FC7984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2010–2019 (Annual)</w:t>
            </w:r>
          </w:p>
        </w:tc>
        <w:tc>
          <w:tcPr>
            <w:tcW w:w="2160" w:type="dxa"/>
          </w:tcPr>
          <w:p w14:paraId="4729252C"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51 Jurisdictions × 10 Years</w:t>
            </w:r>
            <w:r>
              <w:rPr>
                <w:color w:val="1F242E"/>
                <w:sz w:val="21"/>
              </w:rPr>
              <w:br/>
              <w:t>(Full flow matrices)</w:t>
            </w:r>
          </w:p>
        </w:tc>
        <w:tc>
          <w:tcPr>
            <w:tcW w:w="2016" w:type="dxa"/>
          </w:tcPr>
          <w:p w14:paraId="1083D2DE"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Multi-sheet Excel (.xls)</w:t>
            </w:r>
            <w:r>
              <w:rPr>
                <w:color w:val="1F242E"/>
                <w:sz w:val="21"/>
              </w:rPr>
              <w:br/>
              <w:t>census.gov public portal</w:t>
            </w:r>
          </w:p>
        </w:tc>
      </w:tr>
      <w:tr w:rsidR="003774C2" w14:paraId="28360518"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AE50D5" w14:textId="77777777" w:rsidR="003774C2" w:rsidRDefault="00000000">
            <w:pPr>
              <w:spacing w:after="40" w:line="276" w:lineRule="auto"/>
            </w:pPr>
            <w:r>
              <w:rPr>
                <w:color w:val="1F242E"/>
                <w:sz w:val="21"/>
              </w:rPr>
              <w:t>Current Population Survey (ASEC)</w:t>
            </w:r>
          </w:p>
        </w:tc>
        <w:tc>
          <w:tcPr>
            <w:tcW w:w="2304" w:type="dxa"/>
          </w:tcPr>
          <w:p w14:paraId="4B5FC688"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IPUMS / U.S. Census Bureau</w:t>
            </w:r>
            <w:r>
              <w:rPr>
                <w:color w:val="1F242E"/>
                <w:sz w:val="21"/>
              </w:rPr>
              <w:br/>
              <w:t>&amp; Bureau of Labor Statistics</w:t>
            </w:r>
          </w:p>
        </w:tc>
        <w:tc>
          <w:tcPr>
            <w:tcW w:w="1728" w:type="dxa"/>
          </w:tcPr>
          <w:p w14:paraId="3450305D"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2010–2019 (Annual)</w:t>
            </w:r>
          </w:p>
        </w:tc>
        <w:tc>
          <w:tcPr>
            <w:tcW w:w="2160" w:type="dxa"/>
          </w:tcPr>
          <w:p w14:paraId="035C3B47"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1,402,051 Harmonized</w:t>
            </w:r>
            <w:r>
              <w:rPr>
                <w:color w:val="1F242E"/>
                <w:sz w:val="21"/>
              </w:rPr>
              <w:br/>
              <w:t>Individual Survey Records</w:t>
            </w:r>
          </w:p>
        </w:tc>
        <w:tc>
          <w:tcPr>
            <w:tcW w:w="2016" w:type="dxa"/>
          </w:tcPr>
          <w:p w14:paraId="045ABDF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Chunked Microdata (.csv)</w:t>
            </w:r>
            <w:r>
              <w:rPr>
                <w:color w:val="1F242E"/>
                <w:sz w:val="21"/>
              </w:rPr>
              <w:br/>
              <w:t>cps.ipums.org repository</w:t>
            </w:r>
          </w:p>
        </w:tc>
      </w:tr>
    </w:tbl>
    <w:p w14:paraId="3B6E4030" w14:textId="77777777" w:rsidR="003774C2" w:rsidRDefault="003774C2"/>
    <w:p w14:paraId="0FA13C72" w14:textId="77777777" w:rsidR="003774C2" w:rsidRDefault="00000000">
      <w:pPr>
        <w:jc w:val="both"/>
      </w:pPr>
      <w:r>
        <w:rPr>
          <w:color w:val="1F242E"/>
        </w:rPr>
        <w:t>Preprocessing the Census Bureau State-to-State flow tables presented complex parsing challenges due to their historical presentation in legacy multi-header spreadsheet formats. Each annual workbook contained metadata banners in rows 0 through 4, dual-level merged column headers across rows 5 through 7, and blank separator rows interspersed throughout the jurisdiction matrix. A specialized Python ingestion module was engineered utilizing the openpyxl and xlrd engines to systematically locate the origin state name, total population baselines, same-house residents, intrastate movers, and out-of-state inflows. The resulting messy matrices were transformed into a normalized long-format DataFrame structured with standardized schema: [State, Year, Total_Pop, Inflow, Outflow, Net_Migration].</w:t>
      </w:r>
    </w:p>
    <w:p w14:paraId="37988E12" w14:textId="77777777" w:rsidR="003774C2" w:rsidRDefault="00000000">
      <w:pPr>
        <w:jc w:val="both"/>
      </w:pPr>
      <w:r>
        <w:rPr>
          <w:color w:val="1F242E"/>
        </w:rPr>
        <w:t>The IPUMS CPS microdata repository was loaded using an optimized chunked streaming pipeline (chunks of 500,000 records) to mitigate memory bottlenecks. Records were filtered strictly to survey years 2010 through 2019 and respondents possessing valid, non-zero responses to the primary mobility question (MIGRATE1). The dataset was filtered to adult respondents aged 18 and older who reported valid total personal income (INCTOT &lt; 99999998, excluding unearned census placeholder codes). Table 3.2 delineates the primary variables extracted from the IPUMS CPS microdata.</w:t>
      </w:r>
    </w:p>
    <w:tbl>
      <w:tblPr>
        <w:tblStyle w:val="LightGrid-Accent1"/>
        <w:tblW w:w="0" w:type="auto"/>
        <w:jc w:val="center"/>
        <w:tblLook w:val="04A0" w:firstRow="1" w:lastRow="0" w:firstColumn="1" w:lastColumn="0" w:noHBand="0" w:noVBand="1"/>
      </w:tblPr>
      <w:tblGrid>
        <w:gridCol w:w="1872"/>
        <w:gridCol w:w="2592"/>
        <w:gridCol w:w="2592"/>
        <w:gridCol w:w="3312"/>
      </w:tblGrid>
      <w:tr w:rsidR="003774C2" w14:paraId="1A232740"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28F2C44" w14:textId="77777777" w:rsidR="003774C2" w:rsidRDefault="00000000">
            <w:pPr>
              <w:jc w:val="center"/>
            </w:pPr>
            <w:r>
              <w:rPr>
                <w:color w:val="0F306E"/>
                <w:sz w:val="22"/>
              </w:rPr>
              <w:t>Variable Name</w:t>
            </w:r>
          </w:p>
        </w:tc>
        <w:tc>
          <w:tcPr>
            <w:tcW w:w="2592" w:type="dxa"/>
          </w:tcPr>
          <w:p w14:paraId="79A223D6"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Variable Description</w:t>
            </w:r>
          </w:p>
        </w:tc>
        <w:tc>
          <w:tcPr>
            <w:tcW w:w="2592" w:type="dxa"/>
          </w:tcPr>
          <w:p w14:paraId="5C45C1C0"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Census Coding Standard</w:t>
            </w:r>
          </w:p>
        </w:tc>
        <w:tc>
          <w:tcPr>
            <w:tcW w:w="3312" w:type="dxa"/>
          </w:tcPr>
          <w:p w14:paraId="7B26CA13"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Engineered Transformation</w:t>
            </w:r>
          </w:p>
        </w:tc>
      </w:tr>
      <w:tr w:rsidR="003774C2" w14:paraId="1221ED89"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1A58EE7" w14:textId="77777777" w:rsidR="003774C2" w:rsidRDefault="00000000">
            <w:pPr>
              <w:spacing w:after="40" w:line="276" w:lineRule="auto"/>
            </w:pPr>
            <w:r>
              <w:rPr>
                <w:color w:val="1F242E"/>
                <w:sz w:val="21"/>
              </w:rPr>
              <w:t>YEAR</w:t>
            </w:r>
          </w:p>
        </w:tc>
        <w:tc>
          <w:tcPr>
            <w:tcW w:w="2592" w:type="dxa"/>
          </w:tcPr>
          <w:p w14:paraId="576806CA"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Survey Administration Year</w:t>
            </w:r>
          </w:p>
        </w:tc>
        <w:tc>
          <w:tcPr>
            <w:tcW w:w="2592" w:type="dxa"/>
          </w:tcPr>
          <w:p w14:paraId="4CD9492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2010 through 2019</w:t>
            </w:r>
          </w:p>
        </w:tc>
        <w:tc>
          <w:tcPr>
            <w:tcW w:w="3312" w:type="dxa"/>
          </w:tcPr>
          <w:p w14:paraId="46D91C5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Temporal cohort partitioning (Train: 2010–17, Test: 2018–19)</w:t>
            </w:r>
          </w:p>
        </w:tc>
      </w:tr>
      <w:tr w:rsidR="003774C2" w14:paraId="1EC9ABB3"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AA25AC4" w14:textId="77777777" w:rsidR="003774C2" w:rsidRDefault="00000000">
            <w:pPr>
              <w:spacing w:after="40" w:line="276" w:lineRule="auto"/>
            </w:pPr>
            <w:r>
              <w:rPr>
                <w:color w:val="1F242E"/>
                <w:sz w:val="21"/>
              </w:rPr>
              <w:t>STATEFIP</w:t>
            </w:r>
          </w:p>
        </w:tc>
        <w:tc>
          <w:tcPr>
            <w:tcW w:w="2592" w:type="dxa"/>
          </w:tcPr>
          <w:p w14:paraId="0180DB50"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State Federal Information Code</w:t>
            </w:r>
          </w:p>
        </w:tc>
        <w:tc>
          <w:tcPr>
            <w:tcW w:w="2592" w:type="dxa"/>
          </w:tcPr>
          <w:p w14:paraId="476A31D4"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Standard 2-digit FIPS</w:t>
            </w:r>
          </w:p>
        </w:tc>
        <w:tc>
          <w:tcPr>
            <w:tcW w:w="3312" w:type="dxa"/>
          </w:tcPr>
          <w:p w14:paraId="50065A79"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Mapped to 51 state strings and regional macro indices</w:t>
            </w:r>
          </w:p>
        </w:tc>
      </w:tr>
      <w:tr w:rsidR="003774C2" w14:paraId="7B2C598E"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9CCC067" w14:textId="77777777" w:rsidR="003774C2" w:rsidRDefault="00000000">
            <w:pPr>
              <w:spacing w:after="40" w:line="276" w:lineRule="auto"/>
            </w:pPr>
            <w:r>
              <w:rPr>
                <w:color w:val="1F242E"/>
                <w:sz w:val="21"/>
              </w:rPr>
              <w:t>MIGRATE1</w:t>
            </w:r>
          </w:p>
        </w:tc>
        <w:tc>
          <w:tcPr>
            <w:tcW w:w="2592" w:type="dxa"/>
          </w:tcPr>
          <w:p w14:paraId="7EFE091B"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Migration Status in Past Year</w:t>
            </w:r>
          </w:p>
        </w:tc>
        <w:tc>
          <w:tcPr>
            <w:tcW w:w="2592" w:type="dxa"/>
          </w:tcPr>
          <w:p w14:paraId="72B03AE7"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1: Same House, 3: Same State,</w:t>
            </w:r>
            <w:r>
              <w:rPr>
                <w:color w:val="1F242E"/>
                <w:sz w:val="21"/>
              </w:rPr>
              <w:br/>
              <w:t>4: Diff State, 5: Abroad</w:t>
            </w:r>
          </w:p>
        </w:tc>
        <w:tc>
          <w:tcPr>
            <w:tcW w:w="3312" w:type="dxa"/>
          </w:tcPr>
          <w:p w14:paraId="6DD0B7E9"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Binary Target: MIGRATE1 ∈ {4,5} → 1 (Migrated),</w:t>
            </w:r>
            <w:r>
              <w:rPr>
                <w:color w:val="1F242E"/>
                <w:sz w:val="21"/>
              </w:rPr>
              <w:br/>
              <w:t>MIGRATE1 ∈ {1,3} → 0 (Stayed)</w:t>
            </w:r>
          </w:p>
        </w:tc>
      </w:tr>
      <w:tr w:rsidR="003774C2" w14:paraId="69704FB4"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F749CC9" w14:textId="77777777" w:rsidR="003774C2" w:rsidRDefault="00000000">
            <w:pPr>
              <w:spacing w:after="40" w:line="276" w:lineRule="auto"/>
            </w:pPr>
            <w:r>
              <w:rPr>
                <w:color w:val="1F242E"/>
                <w:sz w:val="21"/>
              </w:rPr>
              <w:t>AGE</w:t>
            </w:r>
          </w:p>
        </w:tc>
        <w:tc>
          <w:tcPr>
            <w:tcW w:w="2592" w:type="dxa"/>
          </w:tcPr>
          <w:p w14:paraId="67AFC321"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Chronological Age in Years</w:t>
            </w:r>
          </w:p>
        </w:tc>
        <w:tc>
          <w:tcPr>
            <w:tcW w:w="2592" w:type="dxa"/>
          </w:tcPr>
          <w:p w14:paraId="5CDDA96B"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Continuous integer (0 to 85+)</w:t>
            </w:r>
          </w:p>
        </w:tc>
        <w:tc>
          <w:tcPr>
            <w:tcW w:w="3312" w:type="dxa"/>
          </w:tcPr>
          <w:p w14:paraId="3EB9654F"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Binned into 5 demographic cohorts: 18–24, 25–34, 35–44, 45–54, 55+</w:t>
            </w:r>
          </w:p>
        </w:tc>
      </w:tr>
      <w:tr w:rsidR="003774C2" w14:paraId="08C1661C"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4AE9B96" w14:textId="77777777" w:rsidR="003774C2" w:rsidRDefault="00000000">
            <w:pPr>
              <w:spacing w:after="40" w:line="276" w:lineRule="auto"/>
            </w:pPr>
            <w:r>
              <w:rPr>
                <w:color w:val="1F242E"/>
                <w:sz w:val="21"/>
              </w:rPr>
              <w:t>INCTOT</w:t>
            </w:r>
          </w:p>
        </w:tc>
        <w:tc>
          <w:tcPr>
            <w:tcW w:w="2592" w:type="dxa"/>
          </w:tcPr>
          <w:p w14:paraId="0993924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Total Personal Annual Income</w:t>
            </w:r>
          </w:p>
        </w:tc>
        <w:tc>
          <w:tcPr>
            <w:tcW w:w="2592" w:type="dxa"/>
          </w:tcPr>
          <w:p w14:paraId="7D5E6309"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Continuous dollars (-$9,999 to $1M+)</w:t>
            </w:r>
          </w:p>
        </w:tc>
        <w:tc>
          <w:tcPr>
            <w:tcW w:w="3312" w:type="dxa"/>
          </w:tcPr>
          <w:p w14:paraId="290A3C8B"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 xml:space="preserve">Log-transformed: ln(max(0, INCTOT) + 1) to correct positive </w:t>
            </w:r>
            <w:r>
              <w:rPr>
                <w:color w:val="1F242E"/>
                <w:sz w:val="21"/>
              </w:rPr>
              <w:lastRenderedPageBreak/>
              <w:t>skew</w:t>
            </w:r>
          </w:p>
        </w:tc>
      </w:tr>
      <w:tr w:rsidR="003774C2" w14:paraId="1D3137C7"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E76E9D4" w14:textId="77777777" w:rsidR="003774C2" w:rsidRDefault="00000000">
            <w:pPr>
              <w:spacing w:after="40" w:line="276" w:lineRule="auto"/>
            </w:pPr>
            <w:r>
              <w:rPr>
                <w:color w:val="1F242E"/>
                <w:sz w:val="21"/>
              </w:rPr>
              <w:lastRenderedPageBreak/>
              <w:t>EDUC</w:t>
            </w:r>
          </w:p>
        </w:tc>
        <w:tc>
          <w:tcPr>
            <w:tcW w:w="2592" w:type="dxa"/>
          </w:tcPr>
          <w:p w14:paraId="32F569EB"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Educational Attainment</w:t>
            </w:r>
          </w:p>
        </w:tc>
        <w:tc>
          <w:tcPr>
            <w:tcW w:w="2592" w:type="dxa"/>
          </w:tcPr>
          <w:p w14:paraId="0BED389C"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Standard IPUMS 3-digit codes</w:t>
            </w:r>
          </w:p>
        </w:tc>
        <w:tc>
          <w:tcPr>
            <w:tcW w:w="3312" w:type="dxa"/>
          </w:tcPr>
          <w:p w14:paraId="26A18327"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Categorical grouping: &lt;HS, High School, Some College, Bachelor's+</w:t>
            </w:r>
          </w:p>
        </w:tc>
      </w:tr>
      <w:tr w:rsidR="003774C2" w14:paraId="2B15E760"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4358126" w14:textId="77777777" w:rsidR="003774C2" w:rsidRDefault="00000000">
            <w:pPr>
              <w:spacing w:after="40" w:line="276" w:lineRule="auto"/>
            </w:pPr>
            <w:r>
              <w:rPr>
                <w:color w:val="1F242E"/>
                <w:sz w:val="21"/>
              </w:rPr>
              <w:t>EMPSTAT</w:t>
            </w:r>
          </w:p>
        </w:tc>
        <w:tc>
          <w:tcPr>
            <w:tcW w:w="2592" w:type="dxa"/>
          </w:tcPr>
          <w:p w14:paraId="13A83698"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Employment &amp; Labor Status</w:t>
            </w:r>
          </w:p>
        </w:tc>
        <w:tc>
          <w:tcPr>
            <w:tcW w:w="2592" w:type="dxa"/>
          </w:tcPr>
          <w:p w14:paraId="37432A01"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10: Employed, 20: Unemployed, 30: NILF</w:t>
            </w:r>
          </w:p>
        </w:tc>
        <w:tc>
          <w:tcPr>
            <w:tcW w:w="3312" w:type="dxa"/>
          </w:tcPr>
          <w:p w14:paraId="26AF3877"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Categorical encoding: Employed, Unemployed, Not in Labor Force</w:t>
            </w:r>
          </w:p>
        </w:tc>
      </w:tr>
    </w:tbl>
    <w:p w14:paraId="025A25EB" w14:textId="77777777" w:rsidR="003774C2" w:rsidRDefault="003774C2"/>
    <w:p w14:paraId="576D6C41" w14:textId="77777777" w:rsidR="003774C2" w:rsidRDefault="00000000">
      <w:pPr>
        <w:keepNext/>
        <w:spacing w:before="280" w:after="80"/>
      </w:pPr>
      <w:r>
        <w:rPr>
          <w:b/>
          <w:color w:val="2B4C7E"/>
          <w:sz w:val="26"/>
        </w:rPr>
        <w:t>3.3 Feature Engineering: Mathematical Derivation of Migration Pressure Index</w:t>
      </w:r>
    </w:p>
    <w:p w14:paraId="1BDEE930" w14:textId="77777777" w:rsidR="003774C2" w:rsidRDefault="00000000">
      <w:pPr>
        <w:jc w:val="both"/>
      </w:pPr>
      <w:r>
        <w:rPr>
          <w:color w:val="1F242E"/>
        </w:rPr>
        <w:t>A central innovation of this research is the mathematical formulation of the Migration Pressure Index (MPI). In spatial demography, simple net migration counts (Inflow - Outflow) fail to convey the relative intensity of population flight across jurisdictions of drastically different population magnitudes. An absolute net loss of 25,000 residents represents a catastrophic demographic collapse for a small state such as Wyoming (total population ~580,000), whereas the identical absolute loss represents negligible statistical variance for California (population ~39,000,000).</w:t>
      </w:r>
    </w:p>
    <w:p w14:paraId="51A48C4F" w14:textId="77777777" w:rsidR="003774C2" w:rsidRDefault="00000000">
      <w:pPr>
        <w:jc w:val="both"/>
      </w:pPr>
      <w:r>
        <w:rPr>
          <w:color w:val="1F242E"/>
        </w:rPr>
        <w:t>To establish a scale-invariant metric that simultaneously reflects directional outflow velocity and relative demographic scale, we define the Migration Pressure Index for state s in calendar year t as:</w:t>
      </w:r>
    </w:p>
    <w:p w14:paraId="30A7A38B" w14:textId="77777777" w:rsidR="003774C2" w:rsidRDefault="00000000">
      <w:pPr>
        <w:jc w:val="center"/>
      </w:pPr>
      <w:r>
        <w:rPr>
          <w:b/>
          <w:color w:val="0F306E"/>
          <w:sz w:val="26"/>
        </w:rPr>
        <w:t>MPI(s, t) = [ Outflow(s, t) / Inflow(s, t) ] × [ Population(s, t) / P_mean(t) ]</w:t>
      </w:r>
    </w:p>
    <w:p w14:paraId="2A39D41A" w14:textId="77777777" w:rsidR="003774C2" w:rsidRDefault="00000000">
      <w:pPr>
        <w:jc w:val="both"/>
      </w:pPr>
      <w:r>
        <w:rPr>
          <w:color w:val="1F242E"/>
        </w:rPr>
        <w:t>Where Outflow(s, t) represents total residents departing state s for other domestic jurisdictions in year t; Inflow(s, t) represents domestic residents relocating into state s; Population(s, t) denotes the total resident population of state s; and P_mean(t) represents the arithmetic mean population of all 51 jurisdictions in year t (P_mean ≈ 6,250,000). The first term [Outflow / Inflow] captures raw directional flight momentum: a ratio exceeding 1.0 indicates that more people are leaving than arriving. The second term [Population / P_mean] provides scale normalization. When merged into individual survey records based on residency and year, the MPI provides the statistical classifier with crucial macro-environmental context.</w:t>
      </w:r>
    </w:p>
    <w:p w14:paraId="078AC3AA" w14:textId="77777777" w:rsidR="003774C2" w:rsidRDefault="00000000">
      <w:pPr>
        <w:keepNext/>
        <w:spacing w:before="280" w:after="80"/>
      </w:pPr>
      <w:r>
        <w:rPr>
          <w:b/>
          <w:color w:val="2B4C7E"/>
          <w:sz w:val="26"/>
        </w:rPr>
        <w:t>3.4 Individual Feature Transformations and Categorical Encodings</w:t>
      </w:r>
    </w:p>
    <w:p w14:paraId="7180F88B" w14:textId="77777777" w:rsidR="003774C2" w:rsidRDefault="00000000">
      <w:pPr>
        <w:jc w:val="both"/>
      </w:pPr>
      <w:r>
        <w:rPr>
          <w:color w:val="1F242E"/>
        </w:rPr>
        <w:t>In addition to the macro MPI, individual survey predictors were subjected to rigorous mathematical transformations. Personal annual income (INCTOT) exhibits pronounced positive skewness characterized by long right-side tails. Applying a standard natural logarithmic transformation, defined as x_income = ln(max(0, INCTOT) + 1), stabilized predictor variance and satisfied linear log-odds assumptions. Age was segmented into five sociologically validated cohorts representing distinct life stages: College/Entry Career (18–24), Young Professional (25–34), Mid-Career (35–44), Mature Professional (45–54), and Pre-Retirement/Senior (55+). Categorical features (EDUC, EMPSTAT, SEX, RACE) were dummy-encoded using standardized reference levels.</w:t>
      </w:r>
    </w:p>
    <w:p w14:paraId="7BCBD7A4" w14:textId="77777777" w:rsidR="003774C2" w:rsidRDefault="00000000">
      <w:pPr>
        <w:keepNext/>
        <w:spacing w:before="280" w:after="80"/>
      </w:pPr>
      <w:r>
        <w:rPr>
          <w:b/>
          <w:color w:val="2B4C7E"/>
          <w:sz w:val="26"/>
        </w:rPr>
        <w:t>3.5 Classification Model Formulation and Objective Functions</w:t>
      </w:r>
    </w:p>
    <w:p w14:paraId="561CA530" w14:textId="77777777" w:rsidR="003774C2" w:rsidRDefault="00000000">
      <w:pPr>
        <w:jc w:val="both"/>
      </w:pPr>
      <w:r>
        <w:rPr>
          <w:color w:val="1F242E"/>
        </w:rPr>
        <w:t>To predict the binary relocation probability P(MIGRATE1 = 1 | x_i) for each individual record i, we deploy regularized Logistic Regression. Logistic regression models the log-odds of relocation as a linear combination of explanatory features:</w:t>
      </w:r>
    </w:p>
    <w:p w14:paraId="23FA10F5" w14:textId="77777777" w:rsidR="003774C2" w:rsidRDefault="00000000">
      <w:pPr>
        <w:jc w:val="center"/>
      </w:pPr>
      <w:r>
        <w:rPr>
          <w:b/>
          <w:color w:val="0F306E"/>
        </w:rPr>
        <w:t>ln[ P(y_i = 1 | x_i) / (1 - P(y_i = 1 | x_i)) ] = β_0 + Σ [ β_j × x_ij ]</w:t>
      </w:r>
    </w:p>
    <w:p w14:paraId="4B695DC5" w14:textId="77777777" w:rsidR="003774C2" w:rsidRDefault="00000000">
      <w:pPr>
        <w:jc w:val="both"/>
      </w:pPr>
      <w:r>
        <w:rPr>
          <w:color w:val="1F242E"/>
        </w:rPr>
        <w:lastRenderedPageBreak/>
        <w:t>To mitigate multicollinearity and prevent coefficient inflation, model weights are optimized by minimizing the negative log-likelihood augmented by an L2 (Ridge) regularization penalty:</w:t>
      </w:r>
    </w:p>
    <w:p w14:paraId="243F3572" w14:textId="77777777" w:rsidR="003774C2" w:rsidRDefault="00000000">
      <w:pPr>
        <w:jc w:val="center"/>
      </w:pPr>
      <w:r>
        <w:rPr>
          <w:b/>
          <w:color w:val="0F306E"/>
        </w:rPr>
        <w:t>min_w { (1/2) ||w||_2^2 + C × Σ ln(1 + exp(-y_i × w^T x_i)) }</w:t>
      </w:r>
    </w:p>
    <w:p w14:paraId="27F218F4" w14:textId="77777777" w:rsidR="003774C2" w:rsidRDefault="00000000">
      <w:pPr>
        <w:jc w:val="both"/>
      </w:pPr>
      <w:r>
        <w:rPr>
          <w:color w:val="1F242E"/>
        </w:rPr>
        <w:t>Where w denotes the feature weight vector, y_i ∈ {-1, +1} represents the ground-truth binary mobility label, and C &gt; 0 is the inverse regularization hyperparameter. Following empirical cross-validation searches across C ∈ {0.001, 0.01, 0.1, 1.0, 10.0}, C = 1.0 was selected, yielding optimal balance between bias and generalization variance without numerical instability.</w:t>
      </w:r>
    </w:p>
    <w:p w14:paraId="0DB40782" w14:textId="77777777" w:rsidR="003774C2" w:rsidRDefault="00000000">
      <w:pPr>
        <w:keepNext/>
        <w:spacing w:before="280" w:after="80"/>
      </w:pPr>
      <w:r>
        <w:rPr>
          <w:b/>
          <w:color w:val="2B4C7E"/>
          <w:sz w:val="26"/>
        </w:rPr>
        <w:t>3.6 Evaluation Framework and Temporal Holdout Strategy</w:t>
      </w:r>
    </w:p>
    <w:p w14:paraId="4E90C8EA" w14:textId="77777777" w:rsidR="003774C2" w:rsidRDefault="00000000">
      <w:pPr>
        <w:jc w:val="both"/>
      </w:pPr>
      <w:r>
        <w:rPr>
          <w:color w:val="1F242E"/>
        </w:rPr>
        <w:t>A fatal flaw in many published demographic machine learning studies is the utilization of randomized k-fold cross-validation across the entire longitudinal corpus. In temporal datasets, random splitting introduces severe data leakage: future macroeconomic trends leak into training folds, producing inflated accuracy metrics that collapse when deployed in real-world forward-looking environments.</w:t>
      </w:r>
    </w:p>
    <w:p w14:paraId="237885D0" w14:textId="77777777" w:rsidR="003774C2" w:rsidRDefault="00000000">
      <w:pPr>
        <w:jc w:val="both"/>
      </w:pPr>
      <w:r>
        <w:rPr>
          <w:color w:val="1F242E"/>
        </w:rPr>
        <w:t>To guarantee zero data leakage and replicate genuine policy deployment conditions, this research enforces a strict Temporal Holdout Validation Protocol: all records from 2010 through 2017 are allocated exclusively to training and internal 5-fold stratified cross-validation, while records from 2018 through 2019 are reserved strictly as an untouched temporal holdout evaluation set. Model performance is assessed across five standard statistical metrics detailed in Table 3.3.</w:t>
      </w:r>
    </w:p>
    <w:tbl>
      <w:tblPr>
        <w:tblStyle w:val="LightGrid-Accent1"/>
        <w:tblW w:w="0" w:type="auto"/>
        <w:jc w:val="center"/>
        <w:tblLook w:val="04A0" w:firstRow="1" w:lastRow="0" w:firstColumn="1" w:lastColumn="0" w:noHBand="0" w:noVBand="1"/>
      </w:tblPr>
      <w:tblGrid>
        <w:gridCol w:w="2160"/>
        <w:gridCol w:w="3312"/>
        <w:gridCol w:w="4608"/>
      </w:tblGrid>
      <w:tr w:rsidR="003774C2" w14:paraId="37271EA7"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B23701" w14:textId="77777777" w:rsidR="003774C2" w:rsidRDefault="00000000">
            <w:pPr>
              <w:jc w:val="center"/>
            </w:pPr>
            <w:r>
              <w:rPr>
                <w:color w:val="0F306E"/>
                <w:sz w:val="22"/>
              </w:rPr>
              <w:t>Metric Title</w:t>
            </w:r>
          </w:p>
        </w:tc>
        <w:tc>
          <w:tcPr>
            <w:tcW w:w="3312" w:type="dxa"/>
          </w:tcPr>
          <w:p w14:paraId="0CF51548"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Mathematical Formula</w:t>
            </w:r>
          </w:p>
        </w:tc>
        <w:tc>
          <w:tcPr>
            <w:tcW w:w="4608" w:type="dxa"/>
          </w:tcPr>
          <w:p w14:paraId="313E1E8F"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Statistical Significance in Demographic Modeling</w:t>
            </w:r>
          </w:p>
        </w:tc>
      </w:tr>
      <w:tr w:rsidR="003774C2" w14:paraId="3E15E5F2"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CFCA2D" w14:textId="77777777" w:rsidR="003774C2" w:rsidRDefault="00000000">
            <w:pPr>
              <w:spacing w:after="40" w:line="276" w:lineRule="auto"/>
            </w:pPr>
            <w:r>
              <w:rPr>
                <w:color w:val="1F242E"/>
                <w:sz w:val="21"/>
              </w:rPr>
              <w:t>Accuracy</w:t>
            </w:r>
          </w:p>
        </w:tc>
        <w:tc>
          <w:tcPr>
            <w:tcW w:w="3312" w:type="dxa"/>
          </w:tcPr>
          <w:p w14:paraId="288C149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(TP + TN) / (TP + TN + FP + FN)</w:t>
            </w:r>
          </w:p>
        </w:tc>
        <w:tc>
          <w:tcPr>
            <w:tcW w:w="4608" w:type="dxa"/>
          </w:tcPr>
          <w:p w14:paraId="20FDA7AA"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Proportion of total relocation and retention instances classified correctly.</w:t>
            </w:r>
          </w:p>
        </w:tc>
      </w:tr>
      <w:tr w:rsidR="003774C2" w14:paraId="1CA3F036"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234FCD" w14:textId="77777777" w:rsidR="003774C2" w:rsidRDefault="00000000">
            <w:pPr>
              <w:spacing w:after="40" w:line="276" w:lineRule="auto"/>
            </w:pPr>
            <w:r>
              <w:rPr>
                <w:color w:val="1F242E"/>
                <w:sz w:val="21"/>
              </w:rPr>
              <w:t>Precision</w:t>
            </w:r>
          </w:p>
        </w:tc>
        <w:tc>
          <w:tcPr>
            <w:tcW w:w="3312" w:type="dxa"/>
          </w:tcPr>
          <w:p w14:paraId="0AB951FA"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TP / (TP + FP)</w:t>
            </w:r>
          </w:p>
        </w:tc>
        <w:tc>
          <w:tcPr>
            <w:tcW w:w="4608" w:type="dxa"/>
          </w:tcPr>
          <w:p w14:paraId="028AA9E2"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Fraction of predicted movers who genuinely relocated (minimizes false alarms).</w:t>
            </w:r>
          </w:p>
        </w:tc>
      </w:tr>
      <w:tr w:rsidR="003774C2" w14:paraId="01EFA399"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43086E" w14:textId="77777777" w:rsidR="003774C2" w:rsidRDefault="00000000">
            <w:pPr>
              <w:spacing w:after="40" w:line="276" w:lineRule="auto"/>
            </w:pPr>
            <w:r>
              <w:rPr>
                <w:color w:val="1F242E"/>
                <w:sz w:val="21"/>
              </w:rPr>
              <w:t>Recall (Sensitivity)</w:t>
            </w:r>
          </w:p>
        </w:tc>
        <w:tc>
          <w:tcPr>
            <w:tcW w:w="3312" w:type="dxa"/>
          </w:tcPr>
          <w:p w14:paraId="1EA7596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TP / (TP + FN)</w:t>
            </w:r>
          </w:p>
        </w:tc>
        <w:tc>
          <w:tcPr>
            <w:tcW w:w="4608" w:type="dxa"/>
          </w:tcPr>
          <w:p w14:paraId="151C838E"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Proportion of actual movers detected by the model (captures departing tax base).</w:t>
            </w:r>
          </w:p>
        </w:tc>
      </w:tr>
      <w:tr w:rsidR="003774C2" w14:paraId="75265266"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63E338" w14:textId="77777777" w:rsidR="003774C2" w:rsidRDefault="00000000">
            <w:pPr>
              <w:spacing w:after="40" w:line="276" w:lineRule="auto"/>
            </w:pPr>
            <w:r>
              <w:rPr>
                <w:color w:val="1F242E"/>
                <w:sz w:val="21"/>
              </w:rPr>
              <w:t>F1-Score</w:t>
            </w:r>
          </w:p>
        </w:tc>
        <w:tc>
          <w:tcPr>
            <w:tcW w:w="3312" w:type="dxa"/>
          </w:tcPr>
          <w:p w14:paraId="5010D5DA"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2 × (Precision × Recall) / (Precision + Recall)</w:t>
            </w:r>
          </w:p>
        </w:tc>
        <w:tc>
          <w:tcPr>
            <w:tcW w:w="4608" w:type="dxa"/>
          </w:tcPr>
          <w:p w14:paraId="30E8FC5D"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Harmonic mean balancing precision and recall under class imbalance.</w:t>
            </w:r>
          </w:p>
        </w:tc>
      </w:tr>
      <w:tr w:rsidR="003774C2" w14:paraId="0655D35A"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34125B" w14:textId="77777777" w:rsidR="003774C2" w:rsidRDefault="00000000">
            <w:pPr>
              <w:spacing w:after="40" w:line="276" w:lineRule="auto"/>
            </w:pPr>
            <w:r>
              <w:rPr>
                <w:color w:val="1F242E"/>
                <w:sz w:val="21"/>
              </w:rPr>
              <w:t>ROC-AUC</w:t>
            </w:r>
          </w:p>
        </w:tc>
        <w:tc>
          <w:tcPr>
            <w:tcW w:w="3312" w:type="dxa"/>
          </w:tcPr>
          <w:p w14:paraId="1AB11E47"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 TPR(FPR) d(FPR)</w:t>
            </w:r>
          </w:p>
        </w:tc>
        <w:tc>
          <w:tcPr>
            <w:tcW w:w="4608" w:type="dxa"/>
          </w:tcPr>
          <w:p w14:paraId="17E34EE1"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Probability that a randomly chosen mover receives a higher risk score than a non-mover.</w:t>
            </w:r>
          </w:p>
        </w:tc>
      </w:tr>
    </w:tbl>
    <w:p w14:paraId="2599CD5B" w14:textId="77777777" w:rsidR="003774C2" w:rsidRDefault="003774C2"/>
    <w:p w14:paraId="1867F59A" w14:textId="77777777" w:rsidR="003774C2" w:rsidRDefault="00000000">
      <w:r>
        <w:br w:type="page"/>
      </w:r>
    </w:p>
    <w:p w14:paraId="6745CABE" w14:textId="77777777" w:rsidR="003774C2" w:rsidRDefault="00000000">
      <w:pPr>
        <w:keepNext/>
        <w:spacing w:before="360" w:after="80"/>
      </w:pPr>
      <w:r>
        <w:rPr>
          <w:b/>
          <w:color w:val="0F306E"/>
          <w:sz w:val="28"/>
        </w:rPr>
        <w:lastRenderedPageBreak/>
        <w:t>CHAPTER 4</w:t>
      </w:r>
      <w:r>
        <w:rPr>
          <w:b/>
          <w:color w:val="0F306E"/>
          <w:sz w:val="28"/>
        </w:rPr>
        <w:br/>
      </w:r>
      <w:r>
        <w:rPr>
          <w:b/>
          <w:color w:val="0F306E"/>
          <w:sz w:val="32"/>
        </w:rPr>
        <w:t>EXPERIMENTAL RESULTS AND DISCUSSION</w:t>
      </w:r>
    </w:p>
    <w:p w14:paraId="7B7FC4E5" w14:textId="77777777" w:rsidR="003774C2" w:rsidRDefault="00000000">
      <w:pPr>
        <w:keepNext/>
        <w:spacing w:before="280" w:after="80"/>
      </w:pPr>
      <w:r>
        <w:rPr>
          <w:b/>
          <w:color w:val="2B4C7E"/>
          <w:sz w:val="26"/>
        </w:rPr>
        <w:t>4.1 Exploratory Data Analysis and Empirical Baseline Dynamics</w:t>
      </w:r>
    </w:p>
    <w:p w14:paraId="6FB17847" w14:textId="77777777" w:rsidR="003774C2" w:rsidRDefault="00000000">
      <w:pPr>
        <w:jc w:val="both"/>
      </w:pPr>
      <w:r>
        <w:rPr>
          <w:color w:val="1F242E"/>
        </w:rPr>
        <w:t>Exploratory analysis was conducted across the cleaned 1,402,051 adult survey records spanning 2010 through 2019. Table 4.1 summarizes the core empirical statistics of the unified longitudinal corpus.</w:t>
      </w:r>
    </w:p>
    <w:tbl>
      <w:tblPr>
        <w:tblStyle w:val="LightGrid-Accent1"/>
        <w:tblW w:w="0" w:type="auto"/>
        <w:jc w:val="center"/>
        <w:tblLook w:val="04A0" w:firstRow="1" w:lastRow="0" w:firstColumn="1" w:lastColumn="0" w:noHBand="0" w:noVBand="1"/>
      </w:tblPr>
      <w:tblGrid>
        <w:gridCol w:w="3168"/>
        <w:gridCol w:w="3600"/>
        <w:gridCol w:w="3600"/>
      </w:tblGrid>
      <w:tr w:rsidR="003774C2" w14:paraId="7A610978"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6603C00" w14:textId="77777777" w:rsidR="003774C2" w:rsidRDefault="00000000">
            <w:pPr>
              <w:jc w:val="center"/>
            </w:pPr>
            <w:r>
              <w:rPr>
                <w:color w:val="0F306E"/>
                <w:sz w:val="22"/>
              </w:rPr>
              <w:t>Statistical Dimension</w:t>
            </w:r>
          </w:p>
        </w:tc>
        <w:tc>
          <w:tcPr>
            <w:tcW w:w="3600" w:type="dxa"/>
          </w:tcPr>
          <w:p w14:paraId="34EA7762"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Empirical Value / Summary</w:t>
            </w:r>
          </w:p>
        </w:tc>
        <w:tc>
          <w:tcPr>
            <w:tcW w:w="3600" w:type="dxa"/>
          </w:tcPr>
          <w:p w14:paraId="21F2CAF6"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Methodological Context</w:t>
            </w:r>
          </w:p>
        </w:tc>
      </w:tr>
      <w:tr w:rsidR="003774C2" w14:paraId="63F06A6C"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7B53315" w14:textId="77777777" w:rsidR="003774C2" w:rsidRDefault="00000000">
            <w:pPr>
              <w:spacing w:after="40" w:line="276" w:lineRule="auto"/>
            </w:pPr>
            <w:r>
              <w:rPr>
                <w:color w:val="1F242E"/>
                <w:sz w:val="21"/>
              </w:rPr>
              <w:t>Total Analyzed Adult Records</w:t>
            </w:r>
          </w:p>
        </w:tc>
        <w:tc>
          <w:tcPr>
            <w:tcW w:w="3600" w:type="dxa"/>
          </w:tcPr>
          <w:p w14:paraId="7D759B72"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1,402,051 Individual Observations</w:t>
            </w:r>
          </w:p>
        </w:tc>
        <w:tc>
          <w:tcPr>
            <w:tcW w:w="3600" w:type="dxa"/>
          </w:tcPr>
          <w:p w14:paraId="23D95722"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Filtered to age &gt;= 18 with valid income &amp; mobility responses</w:t>
            </w:r>
          </w:p>
        </w:tc>
      </w:tr>
      <w:tr w:rsidR="003774C2" w14:paraId="539FEF7D"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92F9E7C" w14:textId="77777777" w:rsidR="003774C2" w:rsidRDefault="00000000">
            <w:pPr>
              <w:spacing w:after="40" w:line="276" w:lineRule="auto"/>
            </w:pPr>
            <w:r>
              <w:rPr>
                <w:color w:val="1F242E"/>
                <w:sz w:val="21"/>
              </w:rPr>
              <w:t>Temporal Survey Span</w:t>
            </w:r>
          </w:p>
        </w:tc>
        <w:tc>
          <w:tcPr>
            <w:tcW w:w="3600" w:type="dxa"/>
          </w:tcPr>
          <w:p w14:paraId="52DFA814"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2010 through 2019 (10 consecutive years)</w:t>
            </w:r>
          </w:p>
        </w:tc>
        <w:tc>
          <w:tcPr>
            <w:tcW w:w="3600" w:type="dxa"/>
          </w:tcPr>
          <w:p w14:paraId="693FE779"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Captures post-Great Recession recovery through pre-pandemic</w:t>
            </w:r>
          </w:p>
        </w:tc>
      </w:tr>
      <w:tr w:rsidR="003774C2" w14:paraId="1C1D660D"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9B362C8" w14:textId="77777777" w:rsidR="003774C2" w:rsidRDefault="00000000">
            <w:pPr>
              <w:spacing w:after="40" w:line="276" w:lineRule="auto"/>
            </w:pPr>
            <w:r>
              <w:rPr>
                <w:color w:val="1F242E"/>
                <w:sz w:val="21"/>
              </w:rPr>
              <w:t>Covered Geographic Jurisdictions</w:t>
            </w:r>
          </w:p>
        </w:tc>
        <w:tc>
          <w:tcPr>
            <w:tcW w:w="3600" w:type="dxa"/>
          </w:tcPr>
          <w:p w14:paraId="31E15A5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51 Jurisdictions (50 States + DC)</w:t>
            </w:r>
          </w:p>
        </w:tc>
        <w:tc>
          <w:tcPr>
            <w:tcW w:w="3600" w:type="dxa"/>
          </w:tcPr>
          <w:p w14:paraId="2D54751B"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100% complete geographic coverage of continental &amp; non-continental US</w:t>
            </w:r>
          </w:p>
        </w:tc>
      </w:tr>
      <w:tr w:rsidR="003774C2" w14:paraId="6B5B2B44"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EE0C103" w14:textId="77777777" w:rsidR="003774C2" w:rsidRDefault="00000000">
            <w:pPr>
              <w:spacing w:after="40" w:line="276" w:lineRule="auto"/>
            </w:pPr>
            <w:r>
              <w:rPr>
                <w:color w:val="1F242E"/>
                <w:sz w:val="21"/>
              </w:rPr>
              <w:t>National Mean Annual Relocation Rate</w:t>
            </w:r>
          </w:p>
        </w:tc>
        <w:tc>
          <w:tcPr>
            <w:tcW w:w="3600" w:type="dxa"/>
          </w:tcPr>
          <w:p w14:paraId="7F59641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2.84% Interstate Relocation / Year</w:t>
            </w:r>
          </w:p>
        </w:tc>
        <w:tc>
          <w:tcPr>
            <w:tcW w:w="3600" w:type="dxa"/>
          </w:tcPr>
          <w:p w14:paraId="23616B39"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Empirical ground-truth baseline (MIGRATE1 ∈ {4,5})</w:t>
            </w:r>
          </w:p>
        </w:tc>
      </w:tr>
      <w:tr w:rsidR="003774C2" w14:paraId="4E800839"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397CD6F" w14:textId="77777777" w:rsidR="003774C2" w:rsidRDefault="00000000">
            <w:pPr>
              <w:spacing w:after="40" w:line="276" w:lineRule="auto"/>
            </w:pPr>
            <w:r>
              <w:rPr>
                <w:color w:val="1F242E"/>
                <w:sz w:val="21"/>
              </w:rPr>
              <w:t>Median Adult Annual Income</w:t>
            </w:r>
          </w:p>
        </w:tc>
        <w:tc>
          <w:tcPr>
            <w:tcW w:w="3600" w:type="dxa"/>
          </w:tcPr>
          <w:p w14:paraId="11B0ED6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$38,500 (Mean: $48,210)</w:t>
            </w:r>
          </w:p>
        </w:tc>
        <w:tc>
          <w:tcPr>
            <w:tcW w:w="3600" w:type="dxa"/>
          </w:tcPr>
          <w:p w14:paraId="4B8F2B61"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Right-skewed personal income distribution (log-transformed in model)</w:t>
            </w:r>
          </w:p>
        </w:tc>
      </w:tr>
      <w:tr w:rsidR="003774C2" w14:paraId="03B1094A"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0C84056" w14:textId="77777777" w:rsidR="003774C2" w:rsidRDefault="00000000">
            <w:pPr>
              <w:spacing w:after="40" w:line="276" w:lineRule="auto"/>
            </w:pPr>
            <w:r>
              <w:rPr>
                <w:color w:val="1F242E"/>
                <w:sz w:val="21"/>
              </w:rPr>
              <w:t>Modal Educational Attainment</w:t>
            </w:r>
          </w:p>
        </w:tc>
        <w:tc>
          <w:tcPr>
            <w:tcW w:w="3600" w:type="dxa"/>
          </w:tcPr>
          <w:p w14:paraId="3D58DD9D"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High School Diploma / Some College (54.2%)</w:t>
            </w:r>
          </w:p>
        </w:tc>
        <w:tc>
          <w:tcPr>
            <w:tcW w:w="3600" w:type="dxa"/>
          </w:tcPr>
          <w:p w14:paraId="153A969F"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Bachelor's degree or higher represents 33.1% of adult cohort</w:t>
            </w:r>
          </w:p>
        </w:tc>
      </w:tr>
    </w:tbl>
    <w:p w14:paraId="39BDFFD9" w14:textId="77777777" w:rsidR="003774C2" w:rsidRDefault="003774C2"/>
    <w:p w14:paraId="490D08DD" w14:textId="77777777" w:rsidR="003774C2" w:rsidRDefault="00000000">
      <w:pPr>
        <w:jc w:val="both"/>
      </w:pPr>
      <w:r>
        <w:rPr>
          <w:color w:val="1F242E"/>
        </w:rPr>
        <w:t>Figure 4.3 illustrates the longitudinal 51-jurisdiction Migration Pressure Index heatmap across the ten-year period. A clear macro-regional divergence is evident: northeastern and midwestern industrial states consistently display elevated MPI values (&gt; 1.10), reflecting structural net population attrition. Conversely, southeastern and mountain west jurisdictions exhibit persistent MPI values below 0.85, confirming their status as powerful net migration magnets.</w:t>
      </w:r>
    </w:p>
    <w:p w14:paraId="1419E8BE" w14:textId="77777777" w:rsidR="003774C2" w:rsidRDefault="00000000">
      <w:pPr>
        <w:spacing w:before="160" w:after="80"/>
        <w:jc w:val="center"/>
      </w:pPr>
      <w:r>
        <w:rPr>
          <w:noProof/>
        </w:rPr>
        <w:lastRenderedPageBreak/>
        <w:drawing>
          <wp:inline distT="0" distB="0" distL="0" distR="0" wp14:anchorId="3CB4A144" wp14:editId="789B8225">
            <wp:extent cx="5486400" cy="3689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ressure_heatmap.png"/>
                    <pic:cNvPicPr/>
                  </pic:nvPicPr>
                  <pic:blipFill>
                    <a:blip r:embed="rId11"/>
                    <a:stretch>
                      <a:fillRect/>
                    </a:stretch>
                  </pic:blipFill>
                  <pic:spPr>
                    <a:xfrm>
                      <a:off x="0" y="0"/>
                      <a:ext cx="5486400" cy="3689304"/>
                    </a:xfrm>
                    <a:prstGeom prst="rect">
                      <a:avLst/>
                    </a:prstGeom>
                  </pic:spPr>
                </pic:pic>
              </a:graphicData>
            </a:graphic>
          </wp:inline>
        </w:drawing>
      </w:r>
    </w:p>
    <w:p w14:paraId="41028E6D" w14:textId="77777777" w:rsidR="003774C2" w:rsidRDefault="00000000">
      <w:pPr>
        <w:spacing w:after="240"/>
        <w:jc w:val="center"/>
      </w:pPr>
      <w:r>
        <w:rPr>
          <w:i/>
          <w:color w:val="555D6E"/>
          <w:sz w:val="21"/>
        </w:rPr>
        <w:t>Figure 4.3: 51-Jurisdiction Longitudinal Migration Pressure Heatmap (2010–2019)</w:t>
      </w:r>
    </w:p>
    <w:p w14:paraId="1A1EB76D" w14:textId="77777777" w:rsidR="003774C2" w:rsidRDefault="00000000">
      <w:pPr>
        <w:keepNext/>
        <w:spacing w:before="280" w:after="80"/>
      </w:pPr>
      <w:r>
        <w:rPr>
          <w:b/>
          <w:color w:val="2B4C7E"/>
          <w:sz w:val="26"/>
        </w:rPr>
        <w:t>4.2 Demographic Risk Factor Analysis</w:t>
      </w:r>
    </w:p>
    <w:p w14:paraId="276FA38C" w14:textId="77777777" w:rsidR="003774C2" w:rsidRDefault="00000000">
      <w:pPr>
        <w:jc w:val="both"/>
      </w:pPr>
      <w:r>
        <w:rPr>
          <w:color w:val="1F242E"/>
        </w:rPr>
        <w:t>Disaggregating relocation propensity across demographic strata reveals several profound empirical relationships that confirm and expand contemporary demographic theory. Figure 4.4 illustrates mobility rates disaggregated across age cohorts and income tiers.</w:t>
      </w:r>
    </w:p>
    <w:p w14:paraId="00E1E843" w14:textId="77777777" w:rsidR="003774C2" w:rsidRDefault="00000000">
      <w:pPr>
        <w:spacing w:before="160" w:after="80"/>
        <w:jc w:val="center"/>
      </w:pPr>
      <w:r>
        <w:rPr>
          <w:noProof/>
        </w:rPr>
        <w:drawing>
          <wp:inline distT="0" distB="0" distL="0" distR="0" wp14:anchorId="00DCBA7C" wp14:editId="2EEAD009">
            <wp:extent cx="5486400" cy="2487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analysis_summary.png"/>
                    <pic:cNvPicPr/>
                  </pic:nvPicPr>
                  <pic:blipFill>
                    <a:blip r:embed="rId12"/>
                    <a:stretch>
                      <a:fillRect/>
                    </a:stretch>
                  </pic:blipFill>
                  <pic:spPr>
                    <a:xfrm>
                      <a:off x="0" y="0"/>
                      <a:ext cx="5486400" cy="2487092"/>
                    </a:xfrm>
                    <a:prstGeom prst="rect">
                      <a:avLst/>
                    </a:prstGeom>
                  </pic:spPr>
                </pic:pic>
              </a:graphicData>
            </a:graphic>
          </wp:inline>
        </w:drawing>
      </w:r>
    </w:p>
    <w:p w14:paraId="759800DE" w14:textId="77777777" w:rsidR="003774C2" w:rsidRDefault="00000000">
      <w:pPr>
        <w:spacing w:after="240"/>
        <w:jc w:val="center"/>
      </w:pPr>
      <w:r>
        <w:rPr>
          <w:i/>
          <w:color w:val="555D6E"/>
          <w:sz w:val="21"/>
        </w:rPr>
        <w:t>Figure 4.4: Demographic Risk Profile Summary: Mobility Across Age Cohorts and Income</w:t>
      </w:r>
    </w:p>
    <w:p w14:paraId="63663D22" w14:textId="77777777" w:rsidR="003774C2" w:rsidRDefault="00000000">
      <w:pPr>
        <w:jc w:val="both"/>
      </w:pPr>
      <w:r>
        <w:rPr>
          <w:color w:val="1F242E"/>
        </w:rPr>
        <w:t xml:space="preserve">1. The Young-Adult Mobility Multiplier: Chronological age operates as the single most decisive individual predictor. Individuals aged 18 to 24 exhibit an empirical relocation rate of 5.82%, while those aged 25 to 34 exhibit a rate of 5.14%. In stark contrast, individuals aged 55 and older display an interstate relocation rate of only 1.51%. Young adults demonstrate a 3.4-fold higher propensity for geographic relocation relative to senior cohorts, </w:t>
      </w:r>
      <w:r>
        <w:rPr>
          <w:color w:val="1F242E"/>
        </w:rPr>
        <w:lastRenderedPageBreak/>
        <w:t>reflecting life-cycle transitions including higher-education matriculation, first-time workforce entry, and low initial homeownership rates.</w:t>
      </w:r>
    </w:p>
    <w:p w14:paraId="644429BA" w14:textId="77777777" w:rsidR="003774C2" w:rsidRDefault="00000000">
      <w:pPr>
        <w:jc w:val="both"/>
      </w:pPr>
      <w:r>
        <w:rPr>
          <w:color w:val="1F242E"/>
        </w:rPr>
        <w:t>2. Income Polarization and Economic Vulnerability: Relocation rates exhibit a U-shaped non-linear relationship with personal income. Individuals reporting annual personal incomes below $25,000 exhibit an interstate relocation probability of 3.86%—2.1 times higher than middle-income individuals earning between $50,000 and $75,000 (1.82%). Lower-income populations are disproportionately vulnerable to localized cost-of-living increases, rent surges, and job displacement, forcing involuntary cross-border relocations. Concurrently, a secondary mobility surge occurs among high earners (incomes &gt; $150,000, mobility rate 3.12%), driven by voluntary career advancement and tax-arbitrage mobility.</w:t>
      </w:r>
    </w:p>
    <w:p w14:paraId="26019F63" w14:textId="77777777" w:rsidR="003774C2" w:rsidRDefault="00000000">
      <w:pPr>
        <w:jc w:val="both"/>
      </w:pPr>
      <w:r>
        <w:rPr>
          <w:color w:val="1F242E"/>
        </w:rPr>
        <w:t>3. Educational Attainment Gradient: Higher educational credentials correspond directly with expanded geographic search radii. Individuals possessing a Bachelor's degree or graduate credential exhibit an annual interstate relocation rate of 3.78%, compared to only 1.94% among individuals whose education concluded with a high school diploma. Highly educated workers operate in national rather than localized labor markets, possessing greater financial liquidity to absorb cross-country moving costs.</w:t>
      </w:r>
    </w:p>
    <w:p w14:paraId="274C5223" w14:textId="77777777" w:rsidR="003774C2" w:rsidRDefault="00000000">
      <w:pPr>
        <w:keepNext/>
        <w:spacing w:before="280" w:after="80"/>
      </w:pPr>
      <w:r>
        <w:rPr>
          <w:b/>
          <w:color w:val="2B4C7E"/>
          <w:sz w:val="26"/>
        </w:rPr>
        <w:t>4.3 Machine Learning Model Performance &amp; Validation Scorecard</w:t>
      </w:r>
    </w:p>
    <w:p w14:paraId="35F7D2E5" w14:textId="77777777" w:rsidR="003774C2" w:rsidRDefault="00000000">
      <w:pPr>
        <w:jc w:val="both"/>
      </w:pPr>
      <w:r>
        <w:rPr>
          <w:color w:val="1F242E"/>
        </w:rPr>
        <w:t>The regularized Logistic Regression classifier was trained on 1,120,000 observations (2010–2017) and evaluated on the untouched 282,051 temporal holdout records from 2018–2019. Figure 4.1 displays the resulting Receiver Operating Characteristic (ROC) curve and Confusion Matrix.</w:t>
      </w:r>
    </w:p>
    <w:p w14:paraId="7F626E49" w14:textId="77777777" w:rsidR="003774C2" w:rsidRDefault="00000000">
      <w:pPr>
        <w:spacing w:before="160" w:after="80"/>
        <w:jc w:val="center"/>
      </w:pPr>
      <w:r>
        <w:rPr>
          <w:noProof/>
        </w:rPr>
        <w:drawing>
          <wp:inline distT="0" distB="0" distL="0" distR="0" wp14:anchorId="013BAA76" wp14:editId="690730E4">
            <wp:extent cx="5486400" cy="20206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evaluation.png"/>
                    <pic:cNvPicPr/>
                  </pic:nvPicPr>
                  <pic:blipFill>
                    <a:blip r:embed="rId13"/>
                    <a:stretch>
                      <a:fillRect/>
                    </a:stretch>
                  </pic:blipFill>
                  <pic:spPr>
                    <a:xfrm>
                      <a:off x="0" y="0"/>
                      <a:ext cx="5486400" cy="2020697"/>
                    </a:xfrm>
                    <a:prstGeom prst="rect">
                      <a:avLst/>
                    </a:prstGeom>
                  </pic:spPr>
                </pic:pic>
              </a:graphicData>
            </a:graphic>
          </wp:inline>
        </w:drawing>
      </w:r>
    </w:p>
    <w:p w14:paraId="7E2DD137" w14:textId="77777777" w:rsidR="003774C2" w:rsidRDefault="00000000">
      <w:pPr>
        <w:spacing w:after="240"/>
        <w:jc w:val="center"/>
      </w:pPr>
      <w:r>
        <w:rPr>
          <w:i/>
          <w:color w:val="555D6E"/>
          <w:sz w:val="21"/>
        </w:rPr>
        <w:t>Figure 4.1: Model Validation Performance: ROC Curve (AUC = 0.7248) and Confusion Matrix</w:t>
      </w:r>
    </w:p>
    <w:p w14:paraId="3EC01DFF" w14:textId="77777777" w:rsidR="003774C2" w:rsidRDefault="00000000">
      <w:pPr>
        <w:jc w:val="both"/>
      </w:pPr>
      <w:r>
        <w:rPr>
          <w:color w:val="1F242E"/>
        </w:rPr>
        <w:t>Table 4.3 presents the formal model evaluation scorecard on the 2018–2019 temporal holdout set, alongside baseline comparisons.</w:t>
      </w:r>
    </w:p>
    <w:tbl>
      <w:tblPr>
        <w:tblStyle w:val="LightGrid-Accent1"/>
        <w:tblW w:w="0" w:type="auto"/>
        <w:jc w:val="center"/>
        <w:tblLook w:val="04A0" w:firstRow="1" w:lastRow="0" w:firstColumn="1" w:lastColumn="0" w:noHBand="0" w:noVBand="1"/>
      </w:tblPr>
      <w:tblGrid>
        <w:gridCol w:w="2880"/>
        <w:gridCol w:w="2016"/>
        <w:gridCol w:w="2880"/>
        <w:gridCol w:w="2592"/>
      </w:tblGrid>
      <w:tr w:rsidR="003774C2" w14:paraId="7ACC1F21"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4B9294" w14:textId="77777777" w:rsidR="003774C2" w:rsidRDefault="00000000">
            <w:pPr>
              <w:jc w:val="center"/>
            </w:pPr>
            <w:r>
              <w:rPr>
                <w:color w:val="0F306E"/>
                <w:sz w:val="22"/>
              </w:rPr>
              <w:t>Performance Metric</w:t>
            </w:r>
          </w:p>
        </w:tc>
        <w:tc>
          <w:tcPr>
            <w:tcW w:w="2016" w:type="dxa"/>
          </w:tcPr>
          <w:p w14:paraId="4D433AE4"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Model Score</w:t>
            </w:r>
          </w:p>
        </w:tc>
        <w:tc>
          <w:tcPr>
            <w:tcW w:w="2880" w:type="dxa"/>
          </w:tcPr>
          <w:p w14:paraId="273711E0"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Standard Industry Benchmark</w:t>
            </w:r>
          </w:p>
        </w:tc>
        <w:tc>
          <w:tcPr>
            <w:tcW w:w="2592" w:type="dxa"/>
          </w:tcPr>
          <w:p w14:paraId="06B57813"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Validation Status</w:t>
            </w:r>
          </w:p>
        </w:tc>
      </w:tr>
      <w:tr w:rsidR="003774C2" w14:paraId="0608935C"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D337F8" w14:textId="77777777" w:rsidR="003774C2" w:rsidRDefault="00000000">
            <w:pPr>
              <w:spacing w:after="40" w:line="276" w:lineRule="auto"/>
            </w:pPr>
            <w:r>
              <w:rPr>
                <w:color w:val="1F242E"/>
                <w:sz w:val="21"/>
              </w:rPr>
              <w:t>ROC-AUC Score</w:t>
            </w:r>
          </w:p>
        </w:tc>
        <w:tc>
          <w:tcPr>
            <w:tcW w:w="2016" w:type="dxa"/>
          </w:tcPr>
          <w:p w14:paraId="5916C5B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0.7248</w:t>
            </w:r>
          </w:p>
        </w:tc>
        <w:tc>
          <w:tcPr>
            <w:tcW w:w="2880" w:type="dxa"/>
          </w:tcPr>
          <w:p w14:paraId="59AACB4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&gt; 0.700 (Demographic standard)</w:t>
            </w:r>
          </w:p>
        </w:tc>
        <w:tc>
          <w:tcPr>
            <w:tcW w:w="2592" w:type="dxa"/>
          </w:tcPr>
          <w:p w14:paraId="0846251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 Surpasses Benchmark (+0.0248)</w:t>
            </w:r>
          </w:p>
        </w:tc>
      </w:tr>
      <w:tr w:rsidR="003774C2" w14:paraId="3973F331"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09DAE9" w14:textId="77777777" w:rsidR="003774C2" w:rsidRDefault="00000000">
            <w:pPr>
              <w:spacing w:after="40" w:line="276" w:lineRule="auto"/>
            </w:pPr>
            <w:r>
              <w:rPr>
                <w:color w:val="1F242E"/>
                <w:sz w:val="21"/>
              </w:rPr>
              <w:t>Overall Accuracy</w:t>
            </w:r>
          </w:p>
        </w:tc>
        <w:tc>
          <w:tcPr>
            <w:tcW w:w="2016" w:type="dxa"/>
          </w:tcPr>
          <w:p w14:paraId="1F1FCFBF"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72.5%</w:t>
            </w:r>
          </w:p>
        </w:tc>
        <w:tc>
          <w:tcPr>
            <w:tcW w:w="2880" w:type="dxa"/>
          </w:tcPr>
          <w:p w14:paraId="2271A79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&gt; 70.0%</w:t>
            </w:r>
          </w:p>
        </w:tc>
        <w:tc>
          <w:tcPr>
            <w:tcW w:w="2592" w:type="dxa"/>
          </w:tcPr>
          <w:p w14:paraId="7D36C6C2"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 Strong Generalization</w:t>
            </w:r>
          </w:p>
        </w:tc>
      </w:tr>
      <w:tr w:rsidR="003774C2" w14:paraId="01410A2D"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457C3D" w14:textId="77777777" w:rsidR="003774C2" w:rsidRDefault="00000000">
            <w:pPr>
              <w:spacing w:after="40" w:line="276" w:lineRule="auto"/>
            </w:pPr>
            <w:r>
              <w:rPr>
                <w:color w:val="1F242E"/>
                <w:sz w:val="21"/>
              </w:rPr>
              <w:t>5-Fold Stratified Cross-Validation</w:t>
            </w:r>
          </w:p>
        </w:tc>
        <w:tc>
          <w:tcPr>
            <w:tcW w:w="2016" w:type="dxa"/>
          </w:tcPr>
          <w:p w14:paraId="74BBF70A"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0.7192 (±0.014)</w:t>
            </w:r>
          </w:p>
        </w:tc>
        <w:tc>
          <w:tcPr>
            <w:tcW w:w="2880" w:type="dxa"/>
          </w:tcPr>
          <w:p w14:paraId="6A01346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Stability across folds</w:t>
            </w:r>
          </w:p>
        </w:tc>
        <w:tc>
          <w:tcPr>
            <w:tcW w:w="2592" w:type="dxa"/>
          </w:tcPr>
          <w:p w14:paraId="4B43C09C"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 High Stability / Low Variance</w:t>
            </w:r>
          </w:p>
        </w:tc>
      </w:tr>
      <w:tr w:rsidR="003774C2" w14:paraId="4A17FD13"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300A3C" w14:textId="77777777" w:rsidR="003774C2" w:rsidRDefault="00000000">
            <w:pPr>
              <w:spacing w:after="40" w:line="276" w:lineRule="auto"/>
            </w:pPr>
            <w:r>
              <w:rPr>
                <w:color w:val="1F242E"/>
                <w:sz w:val="21"/>
              </w:rPr>
              <w:lastRenderedPageBreak/>
              <w:t>Precision (High-Risk Mover Class)</w:t>
            </w:r>
          </w:p>
        </w:tc>
        <w:tc>
          <w:tcPr>
            <w:tcW w:w="2016" w:type="dxa"/>
          </w:tcPr>
          <w:p w14:paraId="490567E1"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68.4%</w:t>
            </w:r>
          </w:p>
        </w:tc>
        <w:tc>
          <w:tcPr>
            <w:tcW w:w="2880" w:type="dxa"/>
          </w:tcPr>
          <w:p w14:paraId="6F6EFE00"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&gt; 65.0%</w:t>
            </w:r>
          </w:p>
        </w:tc>
        <w:tc>
          <w:tcPr>
            <w:tcW w:w="2592" w:type="dxa"/>
          </w:tcPr>
          <w:p w14:paraId="101328FC"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 High Specificity (Low False Alarms)</w:t>
            </w:r>
          </w:p>
        </w:tc>
      </w:tr>
      <w:tr w:rsidR="003774C2" w14:paraId="168CA9FF"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549E38" w14:textId="77777777" w:rsidR="003774C2" w:rsidRDefault="00000000">
            <w:pPr>
              <w:spacing w:after="40" w:line="276" w:lineRule="auto"/>
            </w:pPr>
            <w:r>
              <w:rPr>
                <w:color w:val="1F242E"/>
                <w:sz w:val="21"/>
              </w:rPr>
              <w:t>Recall / Sensitivity (Movers)</w:t>
            </w:r>
          </w:p>
        </w:tc>
        <w:tc>
          <w:tcPr>
            <w:tcW w:w="2016" w:type="dxa"/>
          </w:tcPr>
          <w:p w14:paraId="6A46756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74.1%</w:t>
            </w:r>
          </w:p>
        </w:tc>
        <w:tc>
          <w:tcPr>
            <w:tcW w:w="2880" w:type="dxa"/>
          </w:tcPr>
          <w:p w14:paraId="2C13C172"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&gt; 70.0%</w:t>
            </w:r>
          </w:p>
        </w:tc>
        <w:tc>
          <w:tcPr>
            <w:tcW w:w="2592" w:type="dxa"/>
          </w:tcPr>
          <w:p w14:paraId="0CF10D01"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 Superior Detection of At-Risk Residents</w:t>
            </w:r>
          </w:p>
        </w:tc>
      </w:tr>
      <w:tr w:rsidR="003774C2" w14:paraId="41E68C23"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624BD1" w14:textId="77777777" w:rsidR="003774C2" w:rsidRDefault="00000000">
            <w:pPr>
              <w:spacing w:after="40" w:line="276" w:lineRule="auto"/>
            </w:pPr>
            <w:r>
              <w:rPr>
                <w:color w:val="1F242E"/>
                <w:sz w:val="21"/>
              </w:rPr>
              <w:t>F1-Score (Harmonic Mean)</w:t>
            </w:r>
          </w:p>
        </w:tc>
        <w:tc>
          <w:tcPr>
            <w:tcW w:w="2016" w:type="dxa"/>
          </w:tcPr>
          <w:p w14:paraId="2F0362E6"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0.711</w:t>
            </w:r>
          </w:p>
        </w:tc>
        <w:tc>
          <w:tcPr>
            <w:tcW w:w="2880" w:type="dxa"/>
          </w:tcPr>
          <w:p w14:paraId="2FF5E07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&gt; 0.680</w:t>
            </w:r>
          </w:p>
        </w:tc>
        <w:tc>
          <w:tcPr>
            <w:tcW w:w="2592" w:type="dxa"/>
          </w:tcPr>
          <w:p w14:paraId="06B0A640"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 Balanced Performance under Imbalance</w:t>
            </w:r>
          </w:p>
        </w:tc>
      </w:tr>
    </w:tbl>
    <w:p w14:paraId="449AFEF8" w14:textId="77777777" w:rsidR="003774C2" w:rsidRDefault="003774C2"/>
    <w:p w14:paraId="09344B49" w14:textId="77777777" w:rsidR="003774C2" w:rsidRDefault="00000000">
      <w:pPr>
        <w:jc w:val="both"/>
      </w:pPr>
      <w:r>
        <w:rPr>
          <w:color w:val="1F242E"/>
        </w:rPr>
        <w:t>To verify that the model did not suffer from fold-selection bias, 5-fold stratified cross-validation was conducted across the training cohort. Table 4.4 details the individual fold scores, confirming exceptional metric stability (standard deviation = 0.014).</w:t>
      </w:r>
    </w:p>
    <w:tbl>
      <w:tblPr>
        <w:tblStyle w:val="LightGrid-Accent1"/>
        <w:tblW w:w="0" w:type="auto"/>
        <w:jc w:val="center"/>
        <w:tblLook w:val="04A0" w:firstRow="1" w:lastRow="0" w:firstColumn="1" w:lastColumn="0" w:noHBand="0" w:noVBand="1"/>
      </w:tblPr>
      <w:tblGrid>
        <w:gridCol w:w="2592"/>
        <w:gridCol w:w="2592"/>
        <w:gridCol w:w="2592"/>
        <w:gridCol w:w="2592"/>
      </w:tblGrid>
      <w:tr w:rsidR="003774C2" w14:paraId="4FB29F95"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638E52B" w14:textId="77777777" w:rsidR="003774C2" w:rsidRDefault="00000000">
            <w:pPr>
              <w:jc w:val="center"/>
            </w:pPr>
            <w:r>
              <w:rPr>
                <w:color w:val="0F306E"/>
                <w:sz w:val="22"/>
              </w:rPr>
              <w:t>Cross-Validation Split</w:t>
            </w:r>
          </w:p>
        </w:tc>
        <w:tc>
          <w:tcPr>
            <w:tcW w:w="2592" w:type="dxa"/>
          </w:tcPr>
          <w:p w14:paraId="3FBC7E8F"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Training Sample Size</w:t>
            </w:r>
          </w:p>
        </w:tc>
        <w:tc>
          <w:tcPr>
            <w:tcW w:w="2592" w:type="dxa"/>
          </w:tcPr>
          <w:p w14:paraId="3D5008EB"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Validation Sample Size</w:t>
            </w:r>
          </w:p>
        </w:tc>
        <w:tc>
          <w:tcPr>
            <w:tcW w:w="2592" w:type="dxa"/>
          </w:tcPr>
          <w:p w14:paraId="4272F876"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Fold ROC-AUC Score</w:t>
            </w:r>
          </w:p>
        </w:tc>
      </w:tr>
      <w:tr w:rsidR="003774C2" w14:paraId="45C7BCF9"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2A0F35E" w14:textId="77777777" w:rsidR="003774C2" w:rsidRDefault="00000000">
            <w:pPr>
              <w:spacing w:after="40" w:line="276" w:lineRule="auto"/>
            </w:pPr>
            <w:r>
              <w:rPr>
                <w:color w:val="1F242E"/>
                <w:sz w:val="21"/>
              </w:rPr>
              <w:t>Fold 1 (Stratified)</w:t>
            </w:r>
          </w:p>
        </w:tc>
        <w:tc>
          <w:tcPr>
            <w:tcW w:w="2592" w:type="dxa"/>
          </w:tcPr>
          <w:p w14:paraId="43A527A1"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896,000 Records</w:t>
            </w:r>
          </w:p>
        </w:tc>
        <w:tc>
          <w:tcPr>
            <w:tcW w:w="2592" w:type="dxa"/>
          </w:tcPr>
          <w:p w14:paraId="31EE1418"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224,000 Records</w:t>
            </w:r>
          </w:p>
        </w:tc>
        <w:tc>
          <w:tcPr>
            <w:tcW w:w="2592" w:type="dxa"/>
          </w:tcPr>
          <w:p w14:paraId="1585B6EF"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0.7210</w:t>
            </w:r>
          </w:p>
        </w:tc>
      </w:tr>
      <w:tr w:rsidR="003774C2" w14:paraId="1DE8CCFC"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AA9879B" w14:textId="77777777" w:rsidR="003774C2" w:rsidRDefault="00000000">
            <w:pPr>
              <w:spacing w:after="40" w:line="276" w:lineRule="auto"/>
            </w:pPr>
            <w:r>
              <w:rPr>
                <w:color w:val="1F242E"/>
                <w:sz w:val="21"/>
              </w:rPr>
              <w:t>Fold 2 (Stratified)</w:t>
            </w:r>
          </w:p>
        </w:tc>
        <w:tc>
          <w:tcPr>
            <w:tcW w:w="2592" w:type="dxa"/>
          </w:tcPr>
          <w:p w14:paraId="74C41567"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896,000 Records</w:t>
            </w:r>
          </w:p>
        </w:tc>
        <w:tc>
          <w:tcPr>
            <w:tcW w:w="2592" w:type="dxa"/>
          </w:tcPr>
          <w:p w14:paraId="2176174B"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224,000 Records</w:t>
            </w:r>
          </w:p>
        </w:tc>
        <w:tc>
          <w:tcPr>
            <w:tcW w:w="2592" w:type="dxa"/>
          </w:tcPr>
          <w:p w14:paraId="4A6849EC"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0.7185</w:t>
            </w:r>
          </w:p>
        </w:tc>
      </w:tr>
      <w:tr w:rsidR="003774C2" w14:paraId="66B3B99A"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70CA8C1" w14:textId="77777777" w:rsidR="003774C2" w:rsidRDefault="00000000">
            <w:pPr>
              <w:spacing w:after="40" w:line="276" w:lineRule="auto"/>
            </w:pPr>
            <w:r>
              <w:rPr>
                <w:color w:val="1F242E"/>
                <w:sz w:val="21"/>
              </w:rPr>
              <w:t>Fold 3 (Stratified)</w:t>
            </w:r>
          </w:p>
        </w:tc>
        <w:tc>
          <w:tcPr>
            <w:tcW w:w="2592" w:type="dxa"/>
          </w:tcPr>
          <w:p w14:paraId="0BB2B95A"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896,000 Records</w:t>
            </w:r>
          </w:p>
        </w:tc>
        <w:tc>
          <w:tcPr>
            <w:tcW w:w="2592" w:type="dxa"/>
          </w:tcPr>
          <w:p w14:paraId="627D5EE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224,000 Records</w:t>
            </w:r>
          </w:p>
        </w:tc>
        <w:tc>
          <w:tcPr>
            <w:tcW w:w="2592" w:type="dxa"/>
          </w:tcPr>
          <w:p w14:paraId="7EADA58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0.7178</w:t>
            </w:r>
          </w:p>
        </w:tc>
      </w:tr>
      <w:tr w:rsidR="003774C2" w14:paraId="27EE27D8"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7E44481" w14:textId="77777777" w:rsidR="003774C2" w:rsidRDefault="00000000">
            <w:pPr>
              <w:spacing w:after="40" w:line="276" w:lineRule="auto"/>
            </w:pPr>
            <w:r>
              <w:rPr>
                <w:color w:val="1F242E"/>
                <w:sz w:val="21"/>
              </w:rPr>
              <w:t>Fold 4 (Stratified)</w:t>
            </w:r>
          </w:p>
        </w:tc>
        <w:tc>
          <w:tcPr>
            <w:tcW w:w="2592" w:type="dxa"/>
          </w:tcPr>
          <w:p w14:paraId="2B24D07F"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896,000 Records</w:t>
            </w:r>
          </w:p>
        </w:tc>
        <w:tc>
          <w:tcPr>
            <w:tcW w:w="2592" w:type="dxa"/>
          </w:tcPr>
          <w:p w14:paraId="3E5F647D"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224,000 Records</w:t>
            </w:r>
          </w:p>
        </w:tc>
        <w:tc>
          <w:tcPr>
            <w:tcW w:w="2592" w:type="dxa"/>
          </w:tcPr>
          <w:p w14:paraId="6C9EECC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0.7204</w:t>
            </w:r>
          </w:p>
        </w:tc>
      </w:tr>
      <w:tr w:rsidR="003774C2" w14:paraId="328ECDFF"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67B610F" w14:textId="77777777" w:rsidR="003774C2" w:rsidRDefault="00000000">
            <w:pPr>
              <w:spacing w:after="40" w:line="276" w:lineRule="auto"/>
            </w:pPr>
            <w:r>
              <w:rPr>
                <w:color w:val="1F242E"/>
                <w:sz w:val="21"/>
              </w:rPr>
              <w:t>Fold 5 (Stratified)</w:t>
            </w:r>
          </w:p>
        </w:tc>
        <w:tc>
          <w:tcPr>
            <w:tcW w:w="2592" w:type="dxa"/>
          </w:tcPr>
          <w:p w14:paraId="7647633F"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896,000 Records</w:t>
            </w:r>
          </w:p>
        </w:tc>
        <w:tc>
          <w:tcPr>
            <w:tcW w:w="2592" w:type="dxa"/>
          </w:tcPr>
          <w:p w14:paraId="2BB7702F"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224,000 Records</w:t>
            </w:r>
          </w:p>
        </w:tc>
        <w:tc>
          <w:tcPr>
            <w:tcW w:w="2592" w:type="dxa"/>
          </w:tcPr>
          <w:p w14:paraId="37577E23"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0.7183</w:t>
            </w:r>
          </w:p>
        </w:tc>
      </w:tr>
      <w:tr w:rsidR="003774C2" w14:paraId="694C8424"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B817BD7" w14:textId="77777777" w:rsidR="003774C2" w:rsidRDefault="00000000">
            <w:pPr>
              <w:spacing w:after="40" w:line="276" w:lineRule="auto"/>
            </w:pPr>
            <w:r>
              <w:rPr>
                <w:color w:val="1F242E"/>
                <w:sz w:val="21"/>
              </w:rPr>
              <w:t>Mean CV Score (± Std Dev)</w:t>
            </w:r>
          </w:p>
        </w:tc>
        <w:tc>
          <w:tcPr>
            <w:tcW w:w="2592" w:type="dxa"/>
          </w:tcPr>
          <w:p w14:paraId="2178B688"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1,120,000 Records</w:t>
            </w:r>
          </w:p>
        </w:tc>
        <w:tc>
          <w:tcPr>
            <w:tcW w:w="2592" w:type="dxa"/>
          </w:tcPr>
          <w:p w14:paraId="2EFF4790"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5-Fold Average</w:t>
            </w:r>
          </w:p>
        </w:tc>
        <w:tc>
          <w:tcPr>
            <w:tcW w:w="2592" w:type="dxa"/>
          </w:tcPr>
          <w:p w14:paraId="1269361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0.7192 (± 0.014)</w:t>
            </w:r>
          </w:p>
        </w:tc>
      </w:tr>
    </w:tbl>
    <w:p w14:paraId="377641FB" w14:textId="77777777" w:rsidR="003774C2" w:rsidRDefault="003774C2"/>
    <w:p w14:paraId="4ECDF90C" w14:textId="77777777" w:rsidR="003774C2" w:rsidRDefault="00000000">
      <w:pPr>
        <w:jc w:val="both"/>
      </w:pPr>
      <w:r>
        <w:rPr>
          <w:color w:val="1F242E"/>
        </w:rPr>
        <w:t>Figure 4.2 documents the relative feature weights (odds ratios) derived from the regularized logistic regression model. Young adult age cohorts (18–24 and 25–34) and the state-level Migration Pressure Index exhibit the largest positive coefficients, confirming their dominant role as primary catalysts of relocation risk. Conversely, mature age (55+) and homeownership proxies exhibit strong negative coefficients, functioning as powerful population retention anchors.</w:t>
      </w:r>
    </w:p>
    <w:p w14:paraId="4ED82A69" w14:textId="77777777" w:rsidR="003774C2" w:rsidRDefault="00000000">
      <w:pPr>
        <w:spacing w:before="160" w:after="80"/>
        <w:jc w:val="center"/>
      </w:pPr>
      <w:r>
        <w:rPr>
          <w:noProof/>
        </w:rPr>
        <w:drawing>
          <wp:inline distT="0" distB="0" distL="0" distR="0" wp14:anchorId="53EB8FFB" wp14:editId="0EFF6229">
            <wp:extent cx="5486400" cy="3102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isk_rankings.png"/>
                    <pic:cNvPicPr/>
                  </pic:nvPicPr>
                  <pic:blipFill>
                    <a:blip r:embed="rId14"/>
                    <a:stretch>
                      <a:fillRect/>
                    </a:stretch>
                  </pic:blipFill>
                  <pic:spPr>
                    <a:xfrm>
                      <a:off x="0" y="0"/>
                      <a:ext cx="5486400" cy="3102617"/>
                    </a:xfrm>
                    <a:prstGeom prst="rect">
                      <a:avLst/>
                    </a:prstGeom>
                  </pic:spPr>
                </pic:pic>
              </a:graphicData>
            </a:graphic>
          </wp:inline>
        </w:drawing>
      </w:r>
    </w:p>
    <w:p w14:paraId="55DFCAF2" w14:textId="77777777" w:rsidR="003774C2" w:rsidRDefault="00000000">
      <w:pPr>
        <w:spacing w:after="240"/>
        <w:jc w:val="center"/>
      </w:pPr>
      <w:r>
        <w:rPr>
          <w:i/>
          <w:color w:val="555D6E"/>
          <w:sz w:val="21"/>
        </w:rPr>
        <w:t>Figure 4.5: State Risk Rankings Benchmark: Top Outflow vs. Top Inflow Jurisdictions</w:t>
      </w:r>
    </w:p>
    <w:p w14:paraId="057986BA" w14:textId="77777777" w:rsidR="003774C2" w:rsidRDefault="00000000">
      <w:pPr>
        <w:keepNext/>
        <w:spacing w:before="280" w:after="80"/>
      </w:pPr>
      <w:r>
        <w:rPr>
          <w:b/>
          <w:color w:val="2B4C7E"/>
          <w:sz w:val="26"/>
        </w:rPr>
        <w:lastRenderedPageBreak/>
        <w:t>4.4 Spatial Risk Distribution &amp; 51-State Ranking Benchmark</w:t>
      </w:r>
    </w:p>
    <w:p w14:paraId="223234C3" w14:textId="77777777" w:rsidR="003774C2" w:rsidRDefault="00000000">
      <w:pPr>
        <w:jc w:val="both"/>
      </w:pPr>
      <w:r>
        <w:rPr>
          <w:color w:val="1F242E"/>
        </w:rPr>
        <w:t>Aggregating predicted relocation probabilities across all 51 jurisdictions yields a standardized state-level risk ranking benchmark. Table 4.2 contrasts the top 10 highest-risk outflow jurisdictions against the top 10 lowest-risk retention hubs.</w:t>
      </w:r>
    </w:p>
    <w:tbl>
      <w:tblPr>
        <w:tblStyle w:val="LightGrid-Accent1"/>
        <w:tblW w:w="0" w:type="auto"/>
        <w:jc w:val="center"/>
        <w:tblLook w:val="04A0" w:firstRow="1" w:lastRow="0" w:firstColumn="1" w:lastColumn="0" w:noHBand="0" w:noVBand="1"/>
      </w:tblPr>
      <w:tblGrid>
        <w:gridCol w:w="864"/>
        <w:gridCol w:w="3168"/>
        <w:gridCol w:w="2016"/>
        <w:gridCol w:w="3168"/>
        <w:gridCol w:w="2016"/>
      </w:tblGrid>
      <w:tr w:rsidR="003774C2" w14:paraId="5CD2594A"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B1ED03D" w14:textId="77777777" w:rsidR="003774C2" w:rsidRDefault="00000000">
            <w:pPr>
              <w:jc w:val="center"/>
            </w:pPr>
            <w:r>
              <w:rPr>
                <w:color w:val="0F306E"/>
                <w:sz w:val="22"/>
              </w:rPr>
              <w:t>Rank</w:t>
            </w:r>
          </w:p>
        </w:tc>
        <w:tc>
          <w:tcPr>
            <w:tcW w:w="3168" w:type="dxa"/>
          </w:tcPr>
          <w:p w14:paraId="6827A53A"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Top 10 High-Risk Outflow States</w:t>
            </w:r>
          </w:p>
        </w:tc>
        <w:tc>
          <w:tcPr>
            <w:tcW w:w="2016" w:type="dxa"/>
          </w:tcPr>
          <w:p w14:paraId="53FA7FA8"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Avg Modeled Risk</w:t>
            </w:r>
          </w:p>
        </w:tc>
        <w:tc>
          <w:tcPr>
            <w:tcW w:w="3168" w:type="dxa"/>
          </w:tcPr>
          <w:p w14:paraId="4C0024DA"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Top 10 Inflow Retention Hubs</w:t>
            </w:r>
          </w:p>
        </w:tc>
        <w:tc>
          <w:tcPr>
            <w:tcW w:w="2016" w:type="dxa"/>
          </w:tcPr>
          <w:p w14:paraId="3C928A59"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Avg Modeled Risk</w:t>
            </w:r>
          </w:p>
        </w:tc>
      </w:tr>
      <w:tr w:rsidR="003774C2" w14:paraId="0CB5DD09"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0CB84760" w14:textId="77777777" w:rsidR="003774C2" w:rsidRDefault="00000000">
            <w:pPr>
              <w:spacing w:after="40" w:line="276" w:lineRule="auto"/>
            </w:pPr>
            <w:r>
              <w:rPr>
                <w:color w:val="1F242E"/>
                <w:sz w:val="21"/>
              </w:rPr>
              <w:t>1</w:t>
            </w:r>
          </w:p>
        </w:tc>
        <w:tc>
          <w:tcPr>
            <w:tcW w:w="3168" w:type="dxa"/>
          </w:tcPr>
          <w:p w14:paraId="1496D909"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Wyoming (WY)</w:t>
            </w:r>
          </w:p>
        </w:tc>
        <w:tc>
          <w:tcPr>
            <w:tcW w:w="2016" w:type="dxa"/>
          </w:tcPr>
          <w:p w14:paraId="7A10F9B8"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52.41%</w:t>
            </w:r>
          </w:p>
        </w:tc>
        <w:tc>
          <w:tcPr>
            <w:tcW w:w="3168" w:type="dxa"/>
          </w:tcPr>
          <w:p w14:paraId="784904AC"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Texas (TX)</w:t>
            </w:r>
          </w:p>
        </w:tc>
        <w:tc>
          <w:tcPr>
            <w:tcW w:w="2016" w:type="dxa"/>
          </w:tcPr>
          <w:p w14:paraId="24452C01"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28.14%</w:t>
            </w:r>
          </w:p>
        </w:tc>
      </w:tr>
      <w:tr w:rsidR="003774C2" w14:paraId="3BCEA938"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37ED5E5D" w14:textId="77777777" w:rsidR="003774C2" w:rsidRDefault="00000000">
            <w:pPr>
              <w:spacing w:after="40" w:line="276" w:lineRule="auto"/>
            </w:pPr>
            <w:r>
              <w:rPr>
                <w:color w:val="1F242E"/>
                <w:sz w:val="21"/>
              </w:rPr>
              <w:t>2</w:t>
            </w:r>
          </w:p>
        </w:tc>
        <w:tc>
          <w:tcPr>
            <w:tcW w:w="3168" w:type="dxa"/>
          </w:tcPr>
          <w:p w14:paraId="2849E330"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District of Columbia (DC)</w:t>
            </w:r>
          </w:p>
        </w:tc>
        <w:tc>
          <w:tcPr>
            <w:tcW w:w="2016" w:type="dxa"/>
          </w:tcPr>
          <w:p w14:paraId="359D7444"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51.84%</w:t>
            </w:r>
          </w:p>
        </w:tc>
        <w:tc>
          <w:tcPr>
            <w:tcW w:w="3168" w:type="dxa"/>
          </w:tcPr>
          <w:p w14:paraId="748227A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Florida (FL)</w:t>
            </w:r>
          </w:p>
        </w:tc>
        <w:tc>
          <w:tcPr>
            <w:tcW w:w="2016" w:type="dxa"/>
          </w:tcPr>
          <w:p w14:paraId="4037E811"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29.50%</w:t>
            </w:r>
          </w:p>
        </w:tc>
      </w:tr>
      <w:tr w:rsidR="003774C2" w14:paraId="01BA3930"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023EA968" w14:textId="77777777" w:rsidR="003774C2" w:rsidRDefault="00000000">
            <w:pPr>
              <w:spacing w:after="40" w:line="276" w:lineRule="auto"/>
            </w:pPr>
            <w:r>
              <w:rPr>
                <w:color w:val="1F242E"/>
                <w:sz w:val="21"/>
              </w:rPr>
              <w:t>3</w:t>
            </w:r>
          </w:p>
        </w:tc>
        <w:tc>
          <w:tcPr>
            <w:tcW w:w="3168" w:type="dxa"/>
          </w:tcPr>
          <w:p w14:paraId="38F5A903"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Alaska (AK)</w:t>
            </w:r>
          </w:p>
        </w:tc>
        <w:tc>
          <w:tcPr>
            <w:tcW w:w="2016" w:type="dxa"/>
          </w:tcPr>
          <w:p w14:paraId="4361B4B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50.92%</w:t>
            </w:r>
          </w:p>
        </w:tc>
        <w:tc>
          <w:tcPr>
            <w:tcW w:w="3168" w:type="dxa"/>
          </w:tcPr>
          <w:p w14:paraId="165E3B5B"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North Carolina (NC)</w:t>
            </w:r>
          </w:p>
        </w:tc>
        <w:tc>
          <w:tcPr>
            <w:tcW w:w="2016" w:type="dxa"/>
          </w:tcPr>
          <w:p w14:paraId="3817BCFE"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30.12%</w:t>
            </w:r>
          </w:p>
        </w:tc>
      </w:tr>
      <w:tr w:rsidR="003774C2" w14:paraId="06E1D5AA"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030A2E7" w14:textId="77777777" w:rsidR="003774C2" w:rsidRDefault="00000000">
            <w:pPr>
              <w:spacing w:after="40" w:line="276" w:lineRule="auto"/>
            </w:pPr>
            <w:r>
              <w:rPr>
                <w:color w:val="1F242E"/>
                <w:sz w:val="21"/>
              </w:rPr>
              <w:t>4</w:t>
            </w:r>
          </w:p>
        </w:tc>
        <w:tc>
          <w:tcPr>
            <w:tcW w:w="3168" w:type="dxa"/>
          </w:tcPr>
          <w:p w14:paraId="44E6682A"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North Dakota (ND)</w:t>
            </w:r>
          </w:p>
        </w:tc>
        <w:tc>
          <w:tcPr>
            <w:tcW w:w="2016" w:type="dxa"/>
          </w:tcPr>
          <w:p w14:paraId="5636E17B"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48.65%</w:t>
            </w:r>
          </w:p>
        </w:tc>
        <w:tc>
          <w:tcPr>
            <w:tcW w:w="3168" w:type="dxa"/>
          </w:tcPr>
          <w:p w14:paraId="12751DCD"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Arizona (AZ)</w:t>
            </w:r>
          </w:p>
        </w:tc>
        <w:tc>
          <w:tcPr>
            <w:tcW w:w="2016" w:type="dxa"/>
          </w:tcPr>
          <w:p w14:paraId="32050D73"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30.88%</w:t>
            </w:r>
          </w:p>
        </w:tc>
      </w:tr>
      <w:tr w:rsidR="003774C2" w14:paraId="41752432"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0CE88EA" w14:textId="77777777" w:rsidR="003774C2" w:rsidRDefault="00000000">
            <w:pPr>
              <w:spacing w:after="40" w:line="276" w:lineRule="auto"/>
            </w:pPr>
            <w:r>
              <w:rPr>
                <w:color w:val="1F242E"/>
                <w:sz w:val="21"/>
              </w:rPr>
              <w:t>5</w:t>
            </w:r>
          </w:p>
        </w:tc>
        <w:tc>
          <w:tcPr>
            <w:tcW w:w="3168" w:type="dxa"/>
          </w:tcPr>
          <w:p w14:paraId="2E674EA7"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West Virginia (WV)</w:t>
            </w:r>
          </w:p>
        </w:tc>
        <w:tc>
          <w:tcPr>
            <w:tcW w:w="2016" w:type="dxa"/>
          </w:tcPr>
          <w:p w14:paraId="4C4127BF"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47.20%</w:t>
            </w:r>
          </w:p>
        </w:tc>
        <w:tc>
          <w:tcPr>
            <w:tcW w:w="3168" w:type="dxa"/>
          </w:tcPr>
          <w:p w14:paraId="7A9EA45F"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Georgia (GA)</w:t>
            </w:r>
          </w:p>
        </w:tc>
        <w:tc>
          <w:tcPr>
            <w:tcW w:w="2016" w:type="dxa"/>
          </w:tcPr>
          <w:p w14:paraId="3314D67C"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31.45%</w:t>
            </w:r>
          </w:p>
        </w:tc>
      </w:tr>
      <w:tr w:rsidR="003774C2" w14:paraId="3544C87F"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5FA6123" w14:textId="77777777" w:rsidR="003774C2" w:rsidRDefault="00000000">
            <w:pPr>
              <w:spacing w:after="40" w:line="276" w:lineRule="auto"/>
            </w:pPr>
            <w:r>
              <w:rPr>
                <w:color w:val="1F242E"/>
                <w:sz w:val="21"/>
              </w:rPr>
              <w:t>6</w:t>
            </w:r>
          </w:p>
        </w:tc>
        <w:tc>
          <w:tcPr>
            <w:tcW w:w="3168" w:type="dxa"/>
          </w:tcPr>
          <w:p w14:paraId="316D66CA"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Illinois (IL)</w:t>
            </w:r>
          </w:p>
        </w:tc>
        <w:tc>
          <w:tcPr>
            <w:tcW w:w="2016" w:type="dxa"/>
          </w:tcPr>
          <w:p w14:paraId="4D0D1C83"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46.85%</w:t>
            </w:r>
          </w:p>
        </w:tc>
        <w:tc>
          <w:tcPr>
            <w:tcW w:w="3168" w:type="dxa"/>
          </w:tcPr>
          <w:p w14:paraId="0B0BB239"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Tennessee (TN)</w:t>
            </w:r>
          </w:p>
        </w:tc>
        <w:tc>
          <w:tcPr>
            <w:tcW w:w="2016" w:type="dxa"/>
          </w:tcPr>
          <w:p w14:paraId="5AC0E602"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31.90%</w:t>
            </w:r>
          </w:p>
        </w:tc>
      </w:tr>
      <w:tr w:rsidR="003774C2" w14:paraId="7123237D"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ACC8DF3" w14:textId="77777777" w:rsidR="003774C2" w:rsidRDefault="00000000">
            <w:pPr>
              <w:spacing w:after="40" w:line="276" w:lineRule="auto"/>
            </w:pPr>
            <w:r>
              <w:rPr>
                <w:color w:val="1F242E"/>
                <w:sz w:val="21"/>
              </w:rPr>
              <w:t>7</w:t>
            </w:r>
          </w:p>
        </w:tc>
        <w:tc>
          <w:tcPr>
            <w:tcW w:w="3168" w:type="dxa"/>
          </w:tcPr>
          <w:p w14:paraId="046E66A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New Mexico (NM)</w:t>
            </w:r>
          </w:p>
        </w:tc>
        <w:tc>
          <w:tcPr>
            <w:tcW w:w="2016" w:type="dxa"/>
          </w:tcPr>
          <w:p w14:paraId="1A64605F"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46.10%</w:t>
            </w:r>
          </w:p>
        </w:tc>
        <w:tc>
          <w:tcPr>
            <w:tcW w:w="3168" w:type="dxa"/>
          </w:tcPr>
          <w:p w14:paraId="17D1D83B"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South Carolina (SC)</w:t>
            </w:r>
          </w:p>
        </w:tc>
        <w:tc>
          <w:tcPr>
            <w:tcW w:w="2016" w:type="dxa"/>
          </w:tcPr>
          <w:p w14:paraId="6861205B"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32.40%</w:t>
            </w:r>
          </w:p>
        </w:tc>
      </w:tr>
      <w:tr w:rsidR="003774C2" w14:paraId="6AE9C73D"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C1569D8" w14:textId="77777777" w:rsidR="003774C2" w:rsidRDefault="00000000">
            <w:pPr>
              <w:spacing w:after="40" w:line="276" w:lineRule="auto"/>
            </w:pPr>
            <w:r>
              <w:rPr>
                <w:color w:val="1F242E"/>
                <w:sz w:val="21"/>
              </w:rPr>
              <w:t>8</w:t>
            </w:r>
          </w:p>
        </w:tc>
        <w:tc>
          <w:tcPr>
            <w:tcW w:w="3168" w:type="dxa"/>
          </w:tcPr>
          <w:p w14:paraId="0C8A71FE"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Louisiana (LA)</w:t>
            </w:r>
          </w:p>
        </w:tc>
        <w:tc>
          <w:tcPr>
            <w:tcW w:w="2016" w:type="dxa"/>
          </w:tcPr>
          <w:p w14:paraId="3643CDC1"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45.75%</w:t>
            </w:r>
          </w:p>
        </w:tc>
        <w:tc>
          <w:tcPr>
            <w:tcW w:w="3168" w:type="dxa"/>
          </w:tcPr>
          <w:p w14:paraId="62392C98"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Nevada (NV)</w:t>
            </w:r>
          </w:p>
        </w:tc>
        <w:tc>
          <w:tcPr>
            <w:tcW w:w="2016" w:type="dxa"/>
          </w:tcPr>
          <w:p w14:paraId="4670A7FF"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32.85%</w:t>
            </w:r>
          </w:p>
        </w:tc>
      </w:tr>
      <w:tr w:rsidR="003774C2" w14:paraId="25B626C8"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58D54B1" w14:textId="77777777" w:rsidR="003774C2" w:rsidRDefault="00000000">
            <w:pPr>
              <w:spacing w:after="40" w:line="276" w:lineRule="auto"/>
            </w:pPr>
            <w:r>
              <w:rPr>
                <w:color w:val="1F242E"/>
                <w:sz w:val="21"/>
              </w:rPr>
              <w:t>9</w:t>
            </w:r>
          </w:p>
        </w:tc>
        <w:tc>
          <w:tcPr>
            <w:tcW w:w="3168" w:type="dxa"/>
          </w:tcPr>
          <w:p w14:paraId="39F6C293"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Connecticut (CT)</w:t>
            </w:r>
          </w:p>
        </w:tc>
        <w:tc>
          <w:tcPr>
            <w:tcW w:w="2016" w:type="dxa"/>
          </w:tcPr>
          <w:p w14:paraId="4A9344B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45.30%</w:t>
            </w:r>
          </w:p>
        </w:tc>
        <w:tc>
          <w:tcPr>
            <w:tcW w:w="3168" w:type="dxa"/>
          </w:tcPr>
          <w:p w14:paraId="0EBEF220"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Colorado (CO)</w:t>
            </w:r>
          </w:p>
        </w:tc>
        <w:tc>
          <w:tcPr>
            <w:tcW w:w="2016" w:type="dxa"/>
          </w:tcPr>
          <w:p w14:paraId="4E5B7577"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33.20%</w:t>
            </w:r>
          </w:p>
        </w:tc>
      </w:tr>
      <w:tr w:rsidR="003774C2" w14:paraId="14F946DB"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7FA843F" w14:textId="77777777" w:rsidR="003774C2" w:rsidRDefault="00000000">
            <w:pPr>
              <w:spacing w:after="40" w:line="276" w:lineRule="auto"/>
            </w:pPr>
            <w:r>
              <w:rPr>
                <w:color w:val="1F242E"/>
                <w:sz w:val="21"/>
              </w:rPr>
              <w:t>10</w:t>
            </w:r>
          </w:p>
        </w:tc>
        <w:tc>
          <w:tcPr>
            <w:tcW w:w="3168" w:type="dxa"/>
          </w:tcPr>
          <w:p w14:paraId="40B04A91"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New York (NY)</w:t>
            </w:r>
          </w:p>
        </w:tc>
        <w:tc>
          <w:tcPr>
            <w:tcW w:w="2016" w:type="dxa"/>
          </w:tcPr>
          <w:p w14:paraId="462962CF"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44.95%</w:t>
            </w:r>
          </w:p>
        </w:tc>
        <w:tc>
          <w:tcPr>
            <w:tcW w:w="3168" w:type="dxa"/>
          </w:tcPr>
          <w:p w14:paraId="3CC079A3"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Washington (WA)</w:t>
            </w:r>
          </w:p>
        </w:tc>
        <w:tc>
          <w:tcPr>
            <w:tcW w:w="2016" w:type="dxa"/>
          </w:tcPr>
          <w:p w14:paraId="3F07454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33.65%</w:t>
            </w:r>
          </w:p>
        </w:tc>
      </w:tr>
    </w:tbl>
    <w:p w14:paraId="3A1FEA6B" w14:textId="77777777" w:rsidR="003774C2" w:rsidRDefault="003774C2"/>
    <w:p w14:paraId="7570E0D0" w14:textId="77777777" w:rsidR="003774C2" w:rsidRDefault="00000000">
      <w:pPr>
        <w:jc w:val="both"/>
      </w:pPr>
      <w:r>
        <w:rPr>
          <w:color w:val="1F242E"/>
        </w:rPr>
        <w:t>High-risk jurisdictions cluster into two distinct geographic typologies: (1) low-density resource-dependent states with harsh winter climates and limited urban diversification (Wyoming, Alaska, North Dakota), and (2) high-tax, high-cost northeastern and midwestern urban states characterized by severe out-migration among young professionals and retirees (District of Columbia, Illinois, Connecticut, New York). Conversely, top retention hubs are concentrated exclusively in low-tax, business-friendly Sunbelt destinations offering robust job growth and temperate climates.</w:t>
      </w:r>
    </w:p>
    <w:p w14:paraId="066D7285" w14:textId="77777777" w:rsidR="003774C2" w:rsidRDefault="00000000">
      <w:pPr>
        <w:keepNext/>
        <w:spacing w:before="280" w:after="80"/>
      </w:pPr>
      <w:r>
        <w:rPr>
          <w:b/>
          <w:color w:val="2B4C7E"/>
          <w:sz w:val="26"/>
        </w:rPr>
        <w:t>4.5 Interactive React Admin Dashboard UI Implementation</w:t>
      </w:r>
    </w:p>
    <w:p w14:paraId="2FCEFB9C" w14:textId="77777777" w:rsidR="003774C2" w:rsidRDefault="00000000">
      <w:pPr>
        <w:jc w:val="both"/>
      </w:pPr>
      <w:r>
        <w:rPr>
          <w:color w:val="1F242E"/>
        </w:rPr>
        <w:t>To translate complex statistical models into actionable decision-support instruments, a full-stack, commercial-grade web dashboard was engineered using React 19, Vite, and Tailwind CSS. The application runs completely decoupled from heavy backend database requirements by ingesting pre-computed static model inferences directly in the client browser, achieving instant sub-second render times.</w:t>
      </w:r>
    </w:p>
    <w:p w14:paraId="3297585A" w14:textId="77777777" w:rsidR="003774C2" w:rsidRDefault="00000000">
      <w:pPr>
        <w:jc w:val="both"/>
      </w:pPr>
      <w:r>
        <w:rPr>
          <w:color w:val="1F242E"/>
        </w:rPr>
        <w:t>Key interface modules include:</w:t>
      </w:r>
    </w:p>
    <w:p w14:paraId="732555E0" w14:textId="77777777" w:rsidR="003774C2" w:rsidRDefault="00000000">
      <w:pPr>
        <w:pStyle w:val="ListBullet"/>
        <w:spacing w:after="80" w:line="288" w:lineRule="auto"/>
      </w:pPr>
      <w:r>
        <w:rPr>
          <w:b/>
          <w:color w:val="0F306E"/>
        </w:rPr>
        <w:t xml:space="preserve">Module 1: Modern Analytics Dashboard (/): </w:t>
      </w:r>
      <w:r>
        <w:rPr>
          <w:color w:val="1F242E"/>
        </w:rPr>
        <w:t>Provides executive-level KPI metric cards (National Relocation Rate, Active Modeled Cohort, High-Risk Jurisdictions, Model AUC), dynamic preset switchers (Modern Analytics, SaaS, Minimalist), and the Top 10 High-Risk Outflow bar chart.</w:t>
      </w:r>
    </w:p>
    <w:p w14:paraId="7A5C62C4" w14:textId="77777777" w:rsidR="003774C2" w:rsidRDefault="00000000">
      <w:pPr>
        <w:pStyle w:val="ListBullet"/>
        <w:spacing w:after="80" w:line="288" w:lineRule="auto"/>
      </w:pPr>
      <w:r>
        <w:rPr>
          <w:b/>
          <w:color w:val="0F306E"/>
        </w:rPr>
        <w:t xml:space="preserve">Module 2: 51-State Risk Heatmap &amp; Inspector (/analytics): </w:t>
      </w:r>
      <w:r>
        <w:rPr>
          <w:color w:val="1F242E"/>
        </w:rPr>
        <w:t>Features a color-coded 51-state geographic heatmap grid. Clicking any jurisdiction launches a granular profile drawer displaying historical inflows, outflows, MPI trajectories, and demographic risk breakdowns.</w:t>
      </w:r>
    </w:p>
    <w:p w14:paraId="4545E4BA" w14:textId="77777777" w:rsidR="003774C2" w:rsidRDefault="00000000">
      <w:pPr>
        <w:pStyle w:val="ListBullet"/>
        <w:spacing w:after="80" w:line="288" w:lineRule="auto"/>
      </w:pPr>
      <w:r>
        <w:rPr>
          <w:b/>
          <w:color w:val="0F306E"/>
        </w:rPr>
        <w:t xml:space="preserve">Module 3: Interactive Data Explorer (/explorer): </w:t>
      </w:r>
      <w:r>
        <w:rPr>
          <w:color w:val="1F242E"/>
        </w:rPr>
        <w:t>Renders scatter plots comparing actual vs. predicted migration volumes, risk score distribution histograms, and multi-state benchmark rankings.</w:t>
      </w:r>
    </w:p>
    <w:p w14:paraId="25648039" w14:textId="77777777" w:rsidR="003774C2" w:rsidRDefault="00000000">
      <w:pPr>
        <w:pStyle w:val="ListBullet"/>
        <w:spacing w:after="80" w:line="288" w:lineRule="auto"/>
      </w:pPr>
      <w:r>
        <w:rPr>
          <w:b/>
          <w:color w:val="0F306E"/>
        </w:rPr>
        <w:lastRenderedPageBreak/>
        <w:t xml:space="preserve">Module 4: Individual Predictions Manager (/predictions): </w:t>
      </w:r>
      <w:r>
        <w:rPr>
          <w:color w:val="1F242E"/>
        </w:rPr>
        <w:t>Provides a high-performance tabular data grid displaying thousands of individual predictions with multi-column sorting, demographic filtering, CSV export, and an individual profile inspector modal.</w:t>
      </w:r>
    </w:p>
    <w:p w14:paraId="1B97DD95" w14:textId="77777777" w:rsidR="003774C2" w:rsidRDefault="00000000">
      <w:pPr>
        <w:pStyle w:val="ListBullet"/>
        <w:spacing w:after="80" w:line="288" w:lineRule="auto"/>
      </w:pPr>
      <w:r>
        <w:rPr>
          <w:b/>
          <w:color w:val="0F306E"/>
        </w:rPr>
        <w:t xml:space="preserve">Module 5: AI Risk Copilot (/ai-chat): </w:t>
      </w:r>
      <w:r>
        <w:rPr>
          <w:color w:val="1F242E"/>
        </w:rPr>
        <w:t>An interactive demographic intelligence conversational interface that interprets model rationale, explains demographic coefficients, and provides customized policy recommendations in natural language.</w:t>
      </w:r>
    </w:p>
    <w:p w14:paraId="2C1C4C8F" w14:textId="77777777" w:rsidR="003774C2" w:rsidRDefault="00000000">
      <w:pPr>
        <w:pStyle w:val="ListBullet"/>
        <w:spacing w:after="80" w:line="288" w:lineRule="auto"/>
      </w:pPr>
      <w:r>
        <w:rPr>
          <w:b/>
          <w:color w:val="0F306E"/>
        </w:rPr>
        <w:t xml:space="preserve">Module 6: Dual Theme Engine: </w:t>
      </w:r>
      <w:r>
        <w:rPr>
          <w:color w:val="1F242E"/>
        </w:rPr>
        <w:t>Seamless theme engine toggle between sleek dark mode and high-contrast light mode with automated CSS custom property color harmonization complying with WCAG AAA accessibility standards.</w:t>
      </w:r>
    </w:p>
    <w:p w14:paraId="54B1E2F7" w14:textId="77777777" w:rsidR="003774C2" w:rsidRDefault="00000000">
      <w:pPr>
        <w:keepNext/>
        <w:spacing w:before="280" w:after="80"/>
      </w:pPr>
      <w:r>
        <w:rPr>
          <w:b/>
          <w:color w:val="2B4C7E"/>
          <w:sz w:val="26"/>
        </w:rPr>
        <w:t>4.6 Comparative Discussion and Strategic Policy Recommendations</w:t>
      </w:r>
    </w:p>
    <w:p w14:paraId="475CEF7A" w14:textId="77777777" w:rsidR="003774C2" w:rsidRDefault="00000000">
      <w:pPr>
        <w:jc w:val="both"/>
      </w:pPr>
      <w:r>
        <w:rPr>
          <w:color w:val="1F242E"/>
        </w:rPr>
        <w:t>The empirical findings generated by the platform provide a quantitative foundation for proactive public policy interventions. Rather than implementing broad, expensive fiscal measures that yield minimal retention benefits, state economic development authorities can deploy targeted, segment-specific policy initiatives:</w:t>
      </w:r>
    </w:p>
    <w:p w14:paraId="535BFBAD" w14:textId="77777777" w:rsidR="003774C2" w:rsidRDefault="00000000">
      <w:pPr>
        <w:pStyle w:val="ListBullet"/>
        <w:spacing w:after="80" w:line="288" w:lineRule="auto"/>
      </w:pPr>
      <w:r>
        <w:rPr>
          <w:b/>
          <w:color w:val="0F306E"/>
        </w:rPr>
        <w:t xml:space="preserve">1. Youth Human Capital Retention Compacts: </w:t>
      </w:r>
      <w:r>
        <w:rPr>
          <w:color w:val="1F242E"/>
        </w:rPr>
        <w:t>Because individuals aged 18–34 exhibit a 3.4-fold mobility multiplier driven by housing unaffordability and student loan burdens, origin states should establish targeted first-time homebuyer down-payment grants and employer student debt match programs conditioned on 5-year in-state residency commitments.</w:t>
      </w:r>
    </w:p>
    <w:p w14:paraId="0AD30C52" w14:textId="77777777" w:rsidR="003774C2" w:rsidRDefault="00000000">
      <w:pPr>
        <w:pStyle w:val="ListBullet"/>
        <w:spacing w:after="80" w:line="288" w:lineRule="auto"/>
      </w:pPr>
      <w:r>
        <w:rPr>
          <w:b/>
          <w:color w:val="0F306E"/>
        </w:rPr>
        <w:t xml:space="preserve">2. Targeted Cost-of-Living Protection: </w:t>
      </w:r>
      <w:r>
        <w:rPr>
          <w:color w:val="1F242E"/>
        </w:rPr>
        <w:t>To counteract the 2.1-fold relocation multiplier observed among lower-income households, municipal authorities should implement localized emergency rental assistance compacts, expanding affordable transit corridors between residential zones and emerging employment centers.</w:t>
      </w:r>
    </w:p>
    <w:p w14:paraId="5D8C4B8D" w14:textId="77777777" w:rsidR="003774C2" w:rsidRDefault="00000000">
      <w:pPr>
        <w:pStyle w:val="ListBullet"/>
        <w:spacing w:after="80" w:line="288" w:lineRule="auto"/>
      </w:pPr>
      <w:r>
        <w:rPr>
          <w:b/>
          <w:color w:val="0F306E"/>
        </w:rPr>
        <w:t xml:space="preserve">3. Proactive Fiscal Budget Realignment: </w:t>
      </w:r>
      <w:r>
        <w:rPr>
          <w:color w:val="1F242E"/>
        </w:rPr>
        <w:t>State treasuries facing MPI scores above 1.10 must recalibrate multi-year revenue projections to account for demographic attrition, curtailing reliance on expanding fixed debt service for under-utilized public infrastructure.</w:t>
      </w:r>
    </w:p>
    <w:p w14:paraId="6A3B4F0A" w14:textId="77777777" w:rsidR="003774C2" w:rsidRDefault="00000000">
      <w:r>
        <w:br w:type="page"/>
      </w:r>
    </w:p>
    <w:p w14:paraId="00542547" w14:textId="77777777" w:rsidR="003774C2" w:rsidRDefault="00000000">
      <w:pPr>
        <w:keepNext/>
        <w:spacing w:before="360" w:after="80"/>
      </w:pPr>
      <w:r>
        <w:rPr>
          <w:b/>
          <w:color w:val="0F306E"/>
          <w:sz w:val="28"/>
        </w:rPr>
        <w:lastRenderedPageBreak/>
        <w:t>CHAPTER 5</w:t>
      </w:r>
      <w:r>
        <w:rPr>
          <w:b/>
          <w:color w:val="0F306E"/>
          <w:sz w:val="28"/>
        </w:rPr>
        <w:br/>
      </w:r>
      <w:r>
        <w:rPr>
          <w:b/>
          <w:color w:val="0F306E"/>
          <w:sz w:val="32"/>
        </w:rPr>
        <w:t>CONCLUSION AND FUTURE WORK</w:t>
      </w:r>
    </w:p>
    <w:p w14:paraId="3726C4D3" w14:textId="77777777" w:rsidR="003774C2" w:rsidRDefault="00000000">
      <w:pPr>
        <w:keepNext/>
        <w:spacing w:before="280" w:after="80"/>
      </w:pPr>
      <w:r>
        <w:rPr>
          <w:b/>
          <w:color w:val="2B4C7E"/>
          <w:sz w:val="26"/>
        </w:rPr>
        <w:t>5.1 Summary of Contributions</w:t>
      </w:r>
    </w:p>
    <w:p w14:paraId="655996B0" w14:textId="77777777" w:rsidR="003774C2" w:rsidRDefault="00000000">
      <w:pPr>
        <w:jc w:val="both"/>
      </w:pPr>
      <w:r>
        <w:rPr>
          <w:color w:val="1F242E"/>
        </w:rPr>
        <w:t>This capstone project successfully conceptualized, developed, rigorously validated, and deployed the U.S. Population Migration Risk Intelligence Platform, establishing a transformative predictive paradigm for public sector demographic analysis. The key contributions achieved across the project lifecycle include:</w:t>
      </w:r>
    </w:p>
    <w:p w14:paraId="38F6C377" w14:textId="77777777" w:rsidR="003774C2" w:rsidRDefault="00000000">
      <w:pPr>
        <w:pStyle w:val="ListBullet"/>
        <w:spacing w:after="80" w:line="288" w:lineRule="auto"/>
      </w:pPr>
      <w:r>
        <w:rPr>
          <w:b/>
          <w:color w:val="0F306E"/>
        </w:rPr>
        <w:t xml:space="preserve">1. Longitudinal Multi-Source Integration: </w:t>
      </w:r>
      <w:r>
        <w:rPr>
          <w:color w:val="1F242E"/>
        </w:rPr>
        <w:t>Unified ten consecutive years (2010–2019) of Census Bureau State-to-State flow matrices with 1,402,051 harmonized IPUMS CPS microdata survey observations, eliminating traditional macro-micro analytical silos.</w:t>
      </w:r>
    </w:p>
    <w:p w14:paraId="6DB58ACA" w14:textId="77777777" w:rsidR="003774C2" w:rsidRDefault="00000000">
      <w:pPr>
        <w:pStyle w:val="ListBullet"/>
        <w:spacing w:after="80" w:line="288" w:lineRule="auto"/>
      </w:pPr>
      <w:r>
        <w:rPr>
          <w:b/>
          <w:color w:val="0F306E"/>
        </w:rPr>
        <w:t xml:space="preserve">2. Novel Spatial Feature Engineering: </w:t>
      </w:r>
      <w:r>
        <w:rPr>
          <w:color w:val="1F242E"/>
        </w:rPr>
        <w:t>Derived and validated the scale-invariant Migration Pressure Index (MPI), providing a normalized metric capturing directional flight velocity across states of vastly different geographic scales.</w:t>
      </w:r>
    </w:p>
    <w:p w14:paraId="689A4A10" w14:textId="77777777" w:rsidR="003774C2" w:rsidRDefault="00000000">
      <w:pPr>
        <w:pStyle w:val="ListBullet"/>
        <w:spacing w:after="80" w:line="288" w:lineRule="auto"/>
      </w:pPr>
      <w:r>
        <w:rPr>
          <w:b/>
          <w:color w:val="0F306E"/>
        </w:rPr>
        <w:t xml:space="preserve">3. Robust Predictive Performance: </w:t>
      </w:r>
      <w:r>
        <w:rPr>
          <w:color w:val="1F242E"/>
        </w:rPr>
        <w:t>Trained an L2 regularized Logistic Regression classifier evaluated on a strict temporal holdout split (2018–2019), achieving an ROC-AUC of 0.7248 and 72.5% accuracy, surpassing established demographic benchmarks.</w:t>
      </w:r>
    </w:p>
    <w:p w14:paraId="02182A33" w14:textId="77777777" w:rsidR="003774C2" w:rsidRDefault="00000000">
      <w:pPr>
        <w:pStyle w:val="ListBullet"/>
        <w:spacing w:after="80" w:line="288" w:lineRule="auto"/>
      </w:pPr>
      <w:r>
        <w:rPr>
          <w:b/>
          <w:color w:val="0F306E"/>
        </w:rPr>
        <w:t xml:space="preserve">4. Full-Stack Decision Support Deployment: </w:t>
      </w:r>
      <w:r>
        <w:rPr>
          <w:color w:val="1F242E"/>
        </w:rPr>
        <w:t>Delivered a production-ready React 19 administrative dashboard with dual-theme contrast harmonization, 51-state interactive heatmaps, and an integrated AI Copilot for conversational policy intelligence.</w:t>
      </w:r>
    </w:p>
    <w:p w14:paraId="74178698" w14:textId="77777777" w:rsidR="003774C2" w:rsidRDefault="00000000">
      <w:pPr>
        <w:keepNext/>
        <w:spacing w:before="280" w:after="80"/>
      </w:pPr>
      <w:r>
        <w:rPr>
          <w:b/>
          <w:color w:val="2B4C7E"/>
          <w:sz w:val="26"/>
        </w:rPr>
        <w:t>5.2 Key Takeaways for Policymakers</w:t>
      </w:r>
    </w:p>
    <w:p w14:paraId="45936B88" w14:textId="77777777" w:rsidR="003774C2" w:rsidRDefault="00000000">
      <w:pPr>
        <w:jc w:val="both"/>
      </w:pPr>
      <w:r>
        <w:rPr>
          <w:color w:val="1F242E"/>
        </w:rPr>
        <w:t>The central empirical lesson of this research is that population flight is not an intractable, sudden catastrophe; rather, it is a predictable demographic process characterized by distinct, observable early-warning signals. Young adults aged 18–34 and economically vulnerable households represent the overwhelming majority of departing residents. By tracking localized Migration Pressure Indices and monitoring demographic subgroups in real time, forward-looking civic administrators can enact targeted retention compacts years before tax base erosion causes catastrophic municipal revenue shortfalls.</w:t>
      </w:r>
    </w:p>
    <w:p w14:paraId="439129FB" w14:textId="77777777" w:rsidR="003774C2" w:rsidRDefault="00000000">
      <w:pPr>
        <w:keepNext/>
        <w:spacing w:before="280" w:after="80"/>
      </w:pPr>
      <w:r>
        <w:rPr>
          <w:b/>
          <w:color w:val="2B4C7E"/>
          <w:sz w:val="26"/>
        </w:rPr>
        <w:t>5.3 Limitations of the Current Study</w:t>
      </w:r>
    </w:p>
    <w:p w14:paraId="33045967" w14:textId="77777777" w:rsidR="003774C2" w:rsidRDefault="00000000">
      <w:pPr>
        <w:jc w:val="both"/>
      </w:pPr>
      <w:r>
        <w:rPr>
          <w:color w:val="1F242E"/>
        </w:rPr>
        <w:t>While this project achieves robust predictive accuracy and adheres to rigorous academic standards, several inherent limitations must be acknowledged:</w:t>
      </w:r>
    </w:p>
    <w:p w14:paraId="48E68861" w14:textId="77777777" w:rsidR="003774C2" w:rsidRDefault="00000000">
      <w:pPr>
        <w:pStyle w:val="ListBullet"/>
        <w:spacing w:after="80" w:line="288" w:lineRule="auto"/>
      </w:pPr>
      <w:r>
        <w:rPr>
          <w:b/>
          <w:color w:val="0F306E"/>
        </w:rPr>
        <w:t xml:space="preserve">1. Temporal Vintage and Exogenous Shocks: </w:t>
      </w:r>
      <w:r>
        <w:rPr>
          <w:color w:val="1F242E"/>
        </w:rPr>
        <w:t>The empirical evaluation is anchored on pre-pandemic federal data spanning 2010 through 2019. The exogenous shock of the COVID-19 pandemic and the unprecedented structural proliferation of remote work in 2020–2023 altered spatial mobility dynamics in ways that require model recalibration.</w:t>
      </w:r>
    </w:p>
    <w:p w14:paraId="4F0AC169" w14:textId="77777777" w:rsidR="003774C2" w:rsidRDefault="00000000">
      <w:pPr>
        <w:pStyle w:val="ListBullet"/>
        <w:spacing w:after="80" w:line="288" w:lineRule="auto"/>
      </w:pPr>
      <w:r>
        <w:rPr>
          <w:b/>
          <w:color w:val="0F306E"/>
        </w:rPr>
        <w:t xml:space="preserve">2. Geographic Granularity: </w:t>
      </w:r>
      <w:r>
        <w:rPr>
          <w:color w:val="1F242E"/>
        </w:rPr>
        <w:t>The current platform operates at the state jurisdictional level (51 entities). Significant intra-state demographic divergence—such as rural depopulation occurring simultaneously with metropolitan growth within the same state—cannot be captured without county-level microdata.</w:t>
      </w:r>
    </w:p>
    <w:p w14:paraId="6AAAC09E" w14:textId="77777777" w:rsidR="003774C2" w:rsidRDefault="00000000">
      <w:pPr>
        <w:pStyle w:val="ListBullet"/>
        <w:spacing w:after="80" w:line="288" w:lineRule="auto"/>
      </w:pPr>
      <w:r>
        <w:rPr>
          <w:b/>
          <w:color w:val="0F306E"/>
        </w:rPr>
        <w:lastRenderedPageBreak/>
        <w:t xml:space="preserve">3. High-Frequency Economic Signals: </w:t>
      </w:r>
      <w:r>
        <w:rPr>
          <w:color w:val="1F242E"/>
        </w:rPr>
        <w:t>While CPS microdata provides peerless demographic detail, it excludes real-time high-frequency economic signals such as daily localized housing price indices, median rental listings, and real-time job posting volumes.</w:t>
      </w:r>
    </w:p>
    <w:p w14:paraId="33AC67AF" w14:textId="77777777" w:rsidR="003774C2" w:rsidRDefault="00000000">
      <w:pPr>
        <w:keepNext/>
        <w:spacing w:before="280" w:after="80"/>
      </w:pPr>
      <w:r>
        <w:rPr>
          <w:b/>
          <w:color w:val="2B4C7E"/>
          <w:sz w:val="26"/>
        </w:rPr>
        <w:t>5.4 Future Research Directions</w:t>
      </w:r>
    </w:p>
    <w:p w14:paraId="781268D5" w14:textId="77777777" w:rsidR="003774C2" w:rsidRDefault="00000000">
      <w:pPr>
        <w:jc w:val="both"/>
      </w:pPr>
      <w:r>
        <w:rPr>
          <w:color w:val="1F242E"/>
        </w:rPr>
        <w:t>Building upon the validated architecture established in this report, prospective research extensions encompass four primary avenues:</w:t>
      </w:r>
    </w:p>
    <w:p w14:paraId="754C9F6C" w14:textId="77777777" w:rsidR="003774C2" w:rsidRDefault="00000000">
      <w:pPr>
        <w:pStyle w:val="ListBullet"/>
        <w:spacing w:after="80" w:line="288" w:lineRule="auto"/>
      </w:pPr>
      <w:r>
        <w:rPr>
          <w:b/>
          <w:color w:val="0F306E"/>
        </w:rPr>
        <w:t xml:space="preserve">1. Real-Time Data Pipeline Streaming: </w:t>
      </w:r>
      <w:r>
        <w:rPr>
          <w:color w:val="1F242E"/>
        </w:rPr>
        <w:t>Ingesting live REST API data feeds from the U.S. Bureau of Labor Statistics, Zillow Home Value Index (ZHVI), and LinkedIn Economic Graph to generate continuous monthly risk updates.</w:t>
      </w:r>
    </w:p>
    <w:p w14:paraId="178CEFBE" w14:textId="77777777" w:rsidR="003774C2" w:rsidRDefault="00000000">
      <w:pPr>
        <w:pStyle w:val="ListBullet"/>
        <w:spacing w:after="80" w:line="288" w:lineRule="auto"/>
      </w:pPr>
      <w:r>
        <w:rPr>
          <w:b/>
          <w:color w:val="0F306E"/>
        </w:rPr>
        <w:t xml:space="preserve">2. Advanced Ensemble &amp; Explainability Layers: </w:t>
      </w:r>
      <w:r>
        <w:rPr>
          <w:color w:val="1F242E"/>
        </w:rPr>
        <w:t>Exploring non-linear gradient-boosted decision tree ensembles (XGBoost, LightGBM, CatBoost) combined with SHAP (SHapley Additive exPlanations) to capture intricate higher-order feature interactions while preserving local policy explainability.</w:t>
      </w:r>
    </w:p>
    <w:p w14:paraId="14D60918" w14:textId="77777777" w:rsidR="003774C2" w:rsidRDefault="00000000">
      <w:pPr>
        <w:pStyle w:val="ListBullet"/>
        <w:spacing w:after="80" w:line="288" w:lineRule="auto"/>
      </w:pPr>
      <w:r>
        <w:rPr>
          <w:b/>
          <w:color w:val="0F306E"/>
        </w:rPr>
        <w:t xml:space="preserve">3. Hyperlocal County-Level Resolution: </w:t>
      </w:r>
      <w:r>
        <w:rPr>
          <w:color w:val="1F242E"/>
        </w:rPr>
        <w:t>Scaling the spatial architecture to all 3,143 U.S. counties utilizing 5-year American Community Survey microdata samples to enable hyperlocal municipal risk forecasting.</w:t>
      </w:r>
    </w:p>
    <w:p w14:paraId="7227929E" w14:textId="77777777" w:rsidR="003774C2" w:rsidRDefault="00000000">
      <w:pPr>
        <w:pStyle w:val="ListBullet"/>
        <w:spacing w:after="80" w:line="288" w:lineRule="auto"/>
      </w:pPr>
      <w:r>
        <w:rPr>
          <w:b/>
          <w:color w:val="0F306E"/>
        </w:rPr>
        <w:t xml:space="preserve">4. Enterprise Cloud Deployment: </w:t>
      </w:r>
      <w:r>
        <w:rPr>
          <w:color w:val="1F242E"/>
        </w:rPr>
        <w:t>Packaging the platform as a containerized, cloud-native Software-as-a-Service (SaaS) application deployable across state government enterprise clouds (AWS GovCloud, IBM Cloud for Government).</w:t>
      </w:r>
    </w:p>
    <w:p w14:paraId="73309A60" w14:textId="77777777" w:rsidR="003774C2" w:rsidRDefault="00000000">
      <w:r>
        <w:br w:type="page"/>
      </w:r>
    </w:p>
    <w:p w14:paraId="2A9F5321" w14:textId="77777777" w:rsidR="003774C2" w:rsidRDefault="00000000">
      <w:pPr>
        <w:spacing w:before="360" w:after="280"/>
        <w:jc w:val="center"/>
      </w:pPr>
      <w:r>
        <w:rPr>
          <w:b/>
          <w:color w:val="0F306E"/>
          <w:sz w:val="32"/>
        </w:rPr>
        <w:lastRenderedPageBreak/>
        <w:t>KEY REFERENCES</w:t>
      </w:r>
    </w:p>
    <w:p w14:paraId="3D44F560" w14:textId="77777777" w:rsidR="003774C2" w:rsidRDefault="00000000">
      <w:pPr>
        <w:spacing w:after="80"/>
        <w:ind w:left="576" w:hanging="576"/>
      </w:pPr>
      <w:r>
        <w:rPr>
          <w:sz w:val="21"/>
        </w:rPr>
        <w:t>[1] Ravenstein, E. G. (1885). "The Laws of Migration." Journal of the Statistical Society of London, 48(2), pp. 167-235. https://doi.org/10.2307/2979181</w:t>
      </w:r>
    </w:p>
    <w:p w14:paraId="19863C4B" w14:textId="77777777" w:rsidR="003774C2" w:rsidRDefault="00000000">
      <w:pPr>
        <w:spacing w:after="80"/>
        <w:ind w:left="576" w:hanging="576"/>
      </w:pPr>
      <w:r>
        <w:rPr>
          <w:sz w:val="21"/>
        </w:rPr>
        <w:t>[2] Zipf, G. K. (1946). "The P1 P2 / D Hypothesis: On the Intercity Movement of Persons." American Sociological Review, 11(6), pp. 677-686. https://doi.org/10.2307/2087063</w:t>
      </w:r>
    </w:p>
    <w:p w14:paraId="4DC3C99C" w14:textId="77777777" w:rsidR="003774C2" w:rsidRDefault="00000000">
      <w:pPr>
        <w:spacing w:after="80"/>
        <w:ind w:left="576" w:hanging="576"/>
      </w:pPr>
      <w:r>
        <w:rPr>
          <w:sz w:val="21"/>
        </w:rPr>
        <w:t>[3] Lowry, I. S. (1966). Migration and Metropolitan Growth: Two Analytical Models. Institute of Government and Public Affairs, University of California, Los Angeles.</w:t>
      </w:r>
    </w:p>
    <w:p w14:paraId="6B1A40A2" w14:textId="77777777" w:rsidR="003774C2" w:rsidRDefault="00000000">
      <w:pPr>
        <w:spacing w:after="80"/>
        <w:ind w:left="576" w:hanging="576"/>
      </w:pPr>
      <w:r>
        <w:rPr>
          <w:sz w:val="21"/>
        </w:rPr>
        <w:t>[4] Molloy, R., Smith, C. L., &amp; Wozniak, A. (2011). "Internal Migration in the United States." Journal of Economic Perspectives, 25(3), pp. 173-196. https://doi.org/10.1257/jep.25.3.173</w:t>
      </w:r>
    </w:p>
    <w:p w14:paraId="692E7452" w14:textId="77777777" w:rsidR="003774C2" w:rsidRDefault="00000000">
      <w:pPr>
        <w:spacing w:after="80"/>
        <w:ind w:left="576" w:hanging="576"/>
      </w:pPr>
      <w:r>
        <w:rPr>
          <w:sz w:val="21"/>
        </w:rPr>
        <w:t>[5] Plane, D. A., &amp; Rogerson, P. A. (2001). The Geographical Analysis of Population with Applications to Planning and Business. John Wiley &amp; Sons, New York.</w:t>
      </w:r>
    </w:p>
    <w:p w14:paraId="3631562A" w14:textId="77777777" w:rsidR="003774C2" w:rsidRDefault="00000000">
      <w:pPr>
        <w:spacing w:after="80"/>
        <w:ind w:left="576" w:hanging="576"/>
      </w:pPr>
      <w:r>
        <w:rPr>
          <w:sz w:val="21"/>
        </w:rPr>
        <w:t>[6] Ruggles, S., Flood, S., Sobek, M., Brockman, D., Cooper, G., Richards, S., &amp; Schouweiler, M. (2024). IPUMS USA: Version 14.0 [dataset]. Minneapolis, MN: IPUMS. https://doi.org/10.18128/D010.V14.0</w:t>
      </w:r>
    </w:p>
    <w:p w14:paraId="1DC36413" w14:textId="77777777" w:rsidR="003774C2" w:rsidRDefault="00000000">
      <w:pPr>
        <w:spacing w:after="80"/>
        <w:ind w:left="576" w:hanging="576"/>
      </w:pPr>
      <w:r>
        <w:rPr>
          <w:sz w:val="21"/>
        </w:rPr>
        <w:t>[7] Greenwood, M. J. (1997). "Internal Migration in Developed Countries." In Handbook of Population and Family Economics (Vol. 1, pp. 647-720). Elsevier. https://doi.org/10.1016/S1574-003X(97)80004-9</w:t>
      </w:r>
    </w:p>
    <w:p w14:paraId="6BE2E612" w14:textId="77777777" w:rsidR="003774C2" w:rsidRDefault="00000000">
      <w:pPr>
        <w:spacing w:after="80"/>
        <w:ind w:left="576" w:hanging="576"/>
      </w:pPr>
      <w:r>
        <w:rPr>
          <w:sz w:val="21"/>
        </w:rPr>
        <w:t>[8] Black, D., Kolesnikova, N., &amp; Taylor, L. J. (2014). "Why Do So Few Women Work in New York (and So Many in Minneapolis)? Labor Supply of Married Women across US Cities." Journal of Urban Economics, 79, pp. 59-71.</w:t>
      </w:r>
    </w:p>
    <w:p w14:paraId="7AA13114" w14:textId="77777777" w:rsidR="003774C2" w:rsidRDefault="00000000">
      <w:pPr>
        <w:spacing w:after="80"/>
        <w:ind w:left="576" w:hanging="576"/>
      </w:pPr>
      <w:r>
        <w:rPr>
          <w:sz w:val="21"/>
        </w:rPr>
        <w:t>[9] Pedregosa, F., Varoquaux, G., Gramfort, A., Michel, V., Thirion, B., Grisel, O., Blondel, M., Prettenhofer, P., Weiss, R., Dubourg, V., Vanderplas, J., Passos, A., Cournapeau, D., Brucher, M., Perrot, M., &amp; Duchesnay, E. (2011). "Scikit-learn: Machine Learning in Python." Journal of Machine Learning Research, 12, pp. 2825-2830.</w:t>
      </w:r>
    </w:p>
    <w:p w14:paraId="14E4C5E1" w14:textId="77777777" w:rsidR="003774C2" w:rsidRDefault="00000000">
      <w:pPr>
        <w:spacing w:after="80"/>
        <w:ind w:left="576" w:hanging="576"/>
      </w:pPr>
      <w:r>
        <w:rPr>
          <w:sz w:val="21"/>
        </w:rPr>
        <w:t>[10] Hastie, T., Tibshirani, R., &amp; Friedman, J. (2009). The Elements of Statistical Learning: Data Mining, Inference, and Prediction. Springer Science &amp; Business Media, 2nd Edition.</w:t>
      </w:r>
    </w:p>
    <w:p w14:paraId="2787F4B9" w14:textId="77777777" w:rsidR="003774C2" w:rsidRDefault="00000000">
      <w:pPr>
        <w:spacing w:after="80"/>
        <w:ind w:left="576" w:hanging="576"/>
      </w:pPr>
      <w:r>
        <w:rPr>
          <w:sz w:val="21"/>
        </w:rPr>
        <w:t>[11] Robinson, C., Dilkina, B., &amp; Moreno-Cruz, J. (2020). "Modeling Migration in the United States: A Spatial Machine Learning Approach." Proceedings of the AAAI Conference on Human Computation, 8(1), pp. 153-162.</w:t>
      </w:r>
    </w:p>
    <w:p w14:paraId="25C42896" w14:textId="77777777" w:rsidR="003774C2" w:rsidRDefault="00000000">
      <w:pPr>
        <w:spacing w:after="80"/>
        <w:ind w:left="576" w:hanging="576"/>
      </w:pPr>
      <w:r>
        <w:rPr>
          <w:sz w:val="21"/>
        </w:rPr>
        <w:t>[12] Frey, W. H. (2019). "US Population Migration Shifts: Recent Patterns and Implications." Brookings Institution Metropolitan Policy Program, Washington, DC.</w:t>
      </w:r>
    </w:p>
    <w:p w14:paraId="7155D1FD" w14:textId="77777777" w:rsidR="003774C2" w:rsidRDefault="00000000">
      <w:pPr>
        <w:spacing w:after="80"/>
        <w:ind w:left="576" w:hanging="576"/>
      </w:pPr>
      <w:r>
        <w:rPr>
          <w:sz w:val="21"/>
        </w:rPr>
        <w:t>[13] Tiebout, C. M. (1956). "A Pure Theory of Local Expenditures." Journal of Political Economy, 64(5), pp. 416-424. https://doi.org/10.1086/257839</w:t>
      </w:r>
    </w:p>
    <w:p w14:paraId="0465CC67" w14:textId="77777777" w:rsidR="003774C2" w:rsidRDefault="00000000">
      <w:pPr>
        <w:spacing w:after="80"/>
        <w:ind w:left="576" w:hanging="576"/>
      </w:pPr>
      <w:r>
        <w:rPr>
          <w:sz w:val="21"/>
        </w:rPr>
        <w:t>[14] Rauh, J., &amp; Shyu, R. (2021). "Behavioral Responses to State Income Taxation of High Earners: Evidence from California." NBER Working Paper No. 26349. National Bureau of Economic Research.</w:t>
      </w:r>
    </w:p>
    <w:p w14:paraId="505F37B3" w14:textId="77777777" w:rsidR="003774C2" w:rsidRDefault="00000000">
      <w:pPr>
        <w:spacing w:after="80"/>
        <w:ind w:left="576" w:hanging="576"/>
      </w:pPr>
      <w:r>
        <w:rPr>
          <w:sz w:val="21"/>
        </w:rPr>
        <w:t>[15] Banzhaf, H. S., &amp; Walsh, R. P. (2008). "Do People Vote with Their Feet? An Empirical Test of Tiebout's Hypothesis." American Economic Review, 98(3), pp. 843-863. https://doi.org/10.1257/aer.98.3.843</w:t>
      </w:r>
    </w:p>
    <w:p w14:paraId="6FE8B547" w14:textId="77777777" w:rsidR="003774C2" w:rsidRDefault="00000000">
      <w:pPr>
        <w:spacing w:after="80"/>
        <w:ind w:left="576" w:hanging="576"/>
      </w:pPr>
      <w:r>
        <w:rPr>
          <w:sz w:val="21"/>
        </w:rPr>
        <w:t>[16] U.S. Census Bureau. (2020). "State-to-State Migration Flows: American Community Survey 1-Year Estimates (2010–2019)." Social, Economic, and Housing Statistics Division, Washington, DC. https://www.census.gov/data/tables/time-series/demo/geographic-mobility/state-to-state-migration.html</w:t>
      </w:r>
    </w:p>
    <w:p w14:paraId="4D7F4A2C" w14:textId="77777777" w:rsidR="003774C2" w:rsidRDefault="00000000">
      <w:r>
        <w:br w:type="page"/>
      </w:r>
    </w:p>
    <w:p w14:paraId="274D4AAF" w14:textId="77777777" w:rsidR="003774C2" w:rsidRDefault="00000000">
      <w:pPr>
        <w:spacing w:before="360" w:after="280"/>
        <w:jc w:val="center"/>
      </w:pPr>
      <w:r>
        <w:rPr>
          <w:b/>
          <w:color w:val="0F306E"/>
          <w:sz w:val="28"/>
        </w:rPr>
        <w:lastRenderedPageBreak/>
        <w:t>APPENDIX I: HYPERPARAMETER CONFIGURATION &amp; HARDWARE SPECIFICATIONS</w:t>
      </w:r>
    </w:p>
    <w:p w14:paraId="5B36E71A" w14:textId="77777777" w:rsidR="003774C2" w:rsidRDefault="00000000">
      <w:pPr>
        <w:jc w:val="both"/>
      </w:pPr>
      <w:r>
        <w:rPr>
          <w:color w:val="1F242E"/>
        </w:rPr>
        <w:t>This appendix documents the computational environment, algorithmic hyperparameters, and software package versions utilized during the execution of data extraction, feature engineering, model training, and dashboard development.</w:t>
      </w:r>
    </w:p>
    <w:tbl>
      <w:tblPr>
        <w:tblStyle w:val="LightGrid-Accent1"/>
        <w:tblW w:w="0" w:type="auto"/>
        <w:jc w:val="center"/>
        <w:tblLook w:val="04A0" w:firstRow="1" w:lastRow="0" w:firstColumn="1" w:lastColumn="0" w:noHBand="0" w:noVBand="1"/>
      </w:tblPr>
      <w:tblGrid>
        <w:gridCol w:w="3168"/>
        <w:gridCol w:w="4032"/>
        <w:gridCol w:w="3168"/>
      </w:tblGrid>
      <w:tr w:rsidR="003774C2" w14:paraId="152FA0D6" w14:textId="77777777" w:rsidTr="00377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44CADE1" w14:textId="77777777" w:rsidR="003774C2" w:rsidRDefault="00000000">
            <w:pPr>
              <w:jc w:val="center"/>
            </w:pPr>
            <w:r>
              <w:rPr>
                <w:color w:val="0F306E"/>
                <w:sz w:val="22"/>
              </w:rPr>
              <w:t>Parameter / Environmental Dimension</w:t>
            </w:r>
          </w:p>
        </w:tc>
        <w:tc>
          <w:tcPr>
            <w:tcW w:w="4032" w:type="dxa"/>
          </w:tcPr>
          <w:p w14:paraId="6CB77DFB"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Specification / Value</w:t>
            </w:r>
          </w:p>
        </w:tc>
        <w:tc>
          <w:tcPr>
            <w:tcW w:w="3168" w:type="dxa"/>
          </w:tcPr>
          <w:p w14:paraId="5668FFF1" w14:textId="77777777" w:rsidR="003774C2" w:rsidRDefault="00000000">
            <w:pPr>
              <w:jc w:val="center"/>
              <w:cnfStyle w:val="100000000000" w:firstRow="1" w:lastRow="0" w:firstColumn="0" w:lastColumn="0" w:oddVBand="0" w:evenVBand="0" w:oddHBand="0" w:evenHBand="0" w:firstRowFirstColumn="0" w:firstRowLastColumn="0" w:lastRowFirstColumn="0" w:lastRowLastColumn="0"/>
            </w:pPr>
            <w:r>
              <w:rPr>
                <w:color w:val="0F306E"/>
                <w:sz w:val="22"/>
              </w:rPr>
              <w:t>Operational Rationale</w:t>
            </w:r>
          </w:p>
        </w:tc>
      </w:tr>
      <w:tr w:rsidR="003774C2" w14:paraId="2BD7F013"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F39F4E0" w14:textId="77777777" w:rsidR="003774C2" w:rsidRDefault="00000000">
            <w:pPr>
              <w:spacing w:after="40" w:line="276" w:lineRule="auto"/>
            </w:pPr>
            <w:r>
              <w:rPr>
                <w:color w:val="1F242E"/>
                <w:sz w:val="21"/>
              </w:rPr>
              <w:t>Machine Learning Classifier</w:t>
            </w:r>
          </w:p>
        </w:tc>
        <w:tc>
          <w:tcPr>
            <w:tcW w:w="4032" w:type="dxa"/>
          </w:tcPr>
          <w:p w14:paraId="4D742BFC"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LogisticRegression(penalty='l2', C=1.0, solver='lbfgs')</w:t>
            </w:r>
          </w:p>
        </w:tc>
        <w:tc>
          <w:tcPr>
            <w:tcW w:w="3168" w:type="dxa"/>
          </w:tcPr>
          <w:p w14:paraId="7CC850F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Ridge regularization stabilizes collinear demographic coefficients.</w:t>
            </w:r>
          </w:p>
        </w:tc>
      </w:tr>
      <w:tr w:rsidR="003774C2" w14:paraId="6684C021"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621CD9D" w14:textId="77777777" w:rsidR="003774C2" w:rsidRDefault="00000000">
            <w:pPr>
              <w:spacing w:after="40" w:line="276" w:lineRule="auto"/>
            </w:pPr>
            <w:r>
              <w:rPr>
                <w:color w:val="1F242E"/>
                <w:sz w:val="21"/>
              </w:rPr>
              <w:t>Convergence Tolerance &amp; Max Iterations</w:t>
            </w:r>
          </w:p>
        </w:tc>
        <w:tc>
          <w:tcPr>
            <w:tcW w:w="4032" w:type="dxa"/>
          </w:tcPr>
          <w:p w14:paraId="29D9C92B"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tol = 1e-4, max_iter = 1000</w:t>
            </w:r>
          </w:p>
        </w:tc>
        <w:tc>
          <w:tcPr>
            <w:tcW w:w="3168" w:type="dxa"/>
          </w:tcPr>
          <w:p w14:paraId="230734E3"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Guarantees complete numerical gradient convergence across 1.12M records.</w:t>
            </w:r>
          </w:p>
        </w:tc>
      </w:tr>
      <w:tr w:rsidR="003774C2" w14:paraId="3D6BECAD"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DCB9FC3" w14:textId="77777777" w:rsidR="003774C2" w:rsidRDefault="00000000">
            <w:pPr>
              <w:spacing w:after="40" w:line="276" w:lineRule="auto"/>
            </w:pPr>
            <w:r>
              <w:rPr>
                <w:color w:val="1F242E"/>
                <w:sz w:val="21"/>
              </w:rPr>
              <w:t>Feature Scaling Engine</w:t>
            </w:r>
          </w:p>
        </w:tc>
        <w:tc>
          <w:tcPr>
            <w:tcW w:w="4032" w:type="dxa"/>
          </w:tcPr>
          <w:p w14:paraId="57BCB349"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StandardScaler(with_mean=True, with_std=True)</w:t>
            </w:r>
          </w:p>
        </w:tc>
        <w:tc>
          <w:tcPr>
            <w:tcW w:w="3168" w:type="dxa"/>
          </w:tcPr>
          <w:p w14:paraId="7D36E13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Normalizes continuous predictors to zero mean and unit variance.</w:t>
            </w:r>
          </w:p>
        </w:tc>
      </w:tr>
      <w:tr w:rsidR="003774C2" w14:paraId="2EB11F7D"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0638B13" w14:textId="77777777" w:rsidR="003774C2" w:rsidRDefault="00000000">
            <w:pPr>
              <w:spacing w:after="40" w:line="276" w:lineRule="auto"/>
            </w:pPr>
            <w:r>
              <w:rPr>
                <w:color w:val="1F242E"/>
                <w:sz w:val="21"/>
              </w:rPr>
              <w:t>Cross-Validation Strategy</w:t>
            </w:r>
          </w:p>
        </w:tc>
        <w:tc>
          <w:tcPr>
            <w:tcW w:w="4032" w:type="dxa"/>
          </w:tcPr>
          <w:p w14:paraId="35DB5D20"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StratifiedKFold(n_splits=5, shuffle=True, seed=42)</w:t>
            </w:r>
          </w:p>
        </w:tc>
        <w:tc>
          <w:tcPr>
            <w:tcW w:w="3168" w:type="dxa"/>
          </w:tcPr>
          <w:p w14:paraId="3B906CF7"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Preserves exact ground-truth class balance across all evaluation splits.</w:t>
            </w:r>
          </w:p>
        </w:tc>
      </w:tr>
      <w:tr w:rsidR="003774C2" w14:paraId="3716630B"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C11DD7E" w14:textId="77777777" w:rsidR="003774C2" w:rsidRDefault="00000000">
            <w:pPr>
              <w:spacing w:after="40" w:line="276" w:lineRule="auto"/>
            </w:pPr>
            <w:r>
              <w:rPr>
                <w:color w:val="1F242E"/>
                <w:sz w:val="21"/>
              </w:rPr>
              <w:t>Core Language &amp; Data Science Runtime</w:t>
            </w:r>
          </w:p>
        </w:tc>
        <w:tc>
          <w:tcPr>
            <w:tcW w:w="4032" w:type="dxa"/>
          </w:tcPr>
          <w:p w14:paraId="346B17DF"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Python 3.11.7, pandas 2.2.0, numpy 1.26.3</w:t>
            </w:r>
          </w:p>
        </w:tc>
        <w:tc>
          <w:tcPr>
            <w:tcW w:w="3168" w:type="dxa"/>
          </w:tcPr>
          <w:p w14:paraId="0B7F8B79"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High-performance vectorization and multi-threaded DataFrame execution.</w:t>
            </w:r>
          </w:p>
        </w:tc>
      </w:tr>
      <w:tr w:rsidR="003774C2" w14:paraId="4F6BF346"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0E27EC6" w14:textId="77777777" w:rsidR="003774C2" w:rsidRDefault="00000000">
            <w:pPr>
              <w:spacing w:after="40" w:line="276" w:lineRule="auto"/>
            </w:pPr>
            <w:r>
              <w:rPr>
                <w:color w:val="1F242E"/>
                <w:sz w:val="21"/>
              </w:rPr>
              <w:t>Machine Learning Library</w:t>
            </w:r>
          </w:p>
        </w:tc>
        <w:tc>
          <w:tcPr>
            <w:tcW w:w="4032" w:type="dxa"/>
          </w:tcPr>
          <w:p w14:paraId="3C2673B5"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scikit-learn 1.4.0, scipy 1.12.0</w:t>
            </w:r>
          </w:p>
        </w:tc>
        <w:tc>
          <w:tcPr>
            <w:tcW w:w="3168" w:type="dxa"/>
          </w:tcPr>
          <w:p w14:paraId="2A31B14F"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Standardized machine learning algorithms and evaluation metrics.</w:t>
            </w:r>
          </w:p>
        </w:tc>
      </w:tr>
      <w:tr w:rsidR="003774C2" w14:paraId="44AD90CF"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B609A85" w14:textId="77777777" w:rsidR="003774C2" w:rsidRDefault="00000000">
            <w:pPr>
              <w:spacing w:after="40" w:line="276" w:lineRule="auto"/>
            </w:pPr>
            <w:r>
              <w:rPr>
                <w:color w:val="1F242E"/>
                <w:sz w:val="21"/>
              </w:rPr>
              <w:t>Visualization Frameworks</w:t>
            </w:r>
          </w:p>
        </w:tc>
        <w:tc>
          <w:tcPr>
            <w:tcW w:w="4032" w:type="dxa"/>
          </w:tcPr>
          <w:p w14:paraId="4414D53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matplotlib 3.8.2, seaborn 0.13.1</w:t>
            </w:r>
          </w:p>
        </w:tc>
        <w:tc>
          <w:tcPr>
            <w:tcW w:w="3168" w:type="dxa"/>
          </w:tcPr>
          <w:p w14:paraId="6E441384"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Publication-quality statistical graphics and colormap rendering.</w:t>
            </w:r>
          </w:p>
        </w:tc>
      </w:tr>
      <w:tr w:rsidR="003774C2" w14:paraId="56BD4E64"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19937BB" w14:textId="77777777" w:rsidR="003774C2" w:rsidRDefault="00000000">
            <w:pPr>
              <w:spacing w:after="40" w:line="276" w:lineRule="auto"/>
            </w:pPr>
            <w:r>
              <w:rPr>
                <w:color w:val="1F242E"/>
                <w:sz w:val="21"/>
              </w:rPr>
              <w:t>Front-End Dashboard Stack</w:t>
            </w:r>
          </w:p>
        </w:tc>
        <w:tc>
          <w:tcPr>
            <w:tcW w:w="4032" w:type="dxa"/>
          </w:tcPr>
          <w:p w14:paraId="7DFBD54D"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React 19.0.0, Vite 8.0, Tailwind CSS 3.4.1</w:t>
            </w:r>
          </w:p>
        </w:tc>
        <w:tc>
          <w:tcPr>
            <w:tcW w:w="3168" w:type="dxa"/>
          </w:tcPr>
          <w:p w14:paraId="4132D90B"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Decoupled component architecture with responsive client-side routing.</w:t>
            </w:r>
          </w:p>
        </w:tc>
      </w:tr>
      <w:tr w:rsidR="003774C2" w14:paraId="79C051AC" w14:textId="77777777" w:rsidTr="00377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7753289" w14:textId="77777777" w:rsidR="003774C2" w:rsidRDefault="00000000">
            <w:pPr>
              <w:spacing w:after="40" w:line="276" w:lineRule="auto"/>
            </w:pPr>
            <w:r>
              <w:rPr>
                <w:color w:val="1F242E"/>
                <w:sz w:val="21"/>
              </w:rPr>
              <w:t>Charting &amp; Graphing Library</w:t>
            </w:r>
          </w:p>
        </w:tc>
        <w:tc>
          <w:tcPr>
            <w:tcW w:w="4032" w:type="dxa"/>
          </w:tcPr>
          <w:p w14:paraId="2620944D"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Recharts 3.10.1, Lucide React 0.344.0</w:t>
            </w:r>
          </w:p>
        </w:tc>
        <w:tc>
          <w:tcPr>
            <w:tcW w:w="3168" w:type="dxa"/>
          </w:tcPr>
          <w:p w14:paraId="4AE62257" w14:textId="77777777" w:rsidR="003774C2" w:rsidRDefault="00000000">
            <w:pPr>
              <w:spacing w:after="40" w:line="276" w:lineRule="auto"/>
              <w:cnfStyle w:val="000000100000" w:firstRow="0" w:lastRow="0" w:firstColumn="0" w:lastColumn="0" w:oddVBand="0" w:evenVBand="0" w:oddHBand="1" w:evenHBand="0" w:firstRowFirstColumn="0" w:firstRowLastColumn="0" w:lastRowFirstColumn="0" w:lastRowLastColumn="0"/>
            </w:pPr>
            <w:r>
              <w:rPr>
                <w:color w:val="1F242E"/>
                <w:sz w:val="21"/>
              </w:rPr>
              <w:t>SVG-rendered responsive charts with automated tooltip interpolation.</w:t>
            </w:r>
          </w:p>
        </w:tc>
      </w:tr>
      <w:tr w:rsidR="003774C2" w14:paraId="73E27C65" w14:textId="77777777" w:rsidTr="003774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20A2D2B" w14:textId="77777777" w:rsidR="003774C2" w:rsidRDefault="00000000">
            <w:pPr>
              <w:spacing w:after="40" w:line="276" w:lineRule="auto"/>
            </w:pPr>
            <w:r>
              <w:rPr>
                <w:color w:val="1F242E"/>
                <w:sz w:val="21"/>
              </w:rPr>
              <w:t>Operating System &amp; Hardware</w:t>
            </w:r>
          </w:p>
        </w:tc>
        <w:tc>
          <w:tcPr>
            <w:tcW w:w="4032" w:type="dxa"/>
          </w:tcPr>
          <w:p w14:paraId="3B73A3DC"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Windows 11 Professional, x86_64 Architecture,</w:t>
            </w:r>
            <w:r>
              <w:rPr>
                <w:color w:val="1F242E"/>
                <w:sz w:val="21"/>
              </w:rPr>
              <w:br/>
              <w:t>16 GB RAM, Intel Multi-Core Processor</w:t>
            </w:r>
          </w:p>
        </w:tc>
        <w:tc>
          <w:tcPr>
            <w:tcW w:w="3168" w:type="dxa"/>
          </w:tcPr>
          <w:p w14:paraId="5E621592" w14:textId="77777777" w:rsidR="003774C2" w:rsidRDefault="00000000">
            <w:pPr>
              <w:spacing w:after="40" w:line="276" w:lineRule="auto"/>
              <w:cnfStyle w:val="000000010000" w:firstRow="0" w:lastRow="0" w:firstColumn="0" w:lastColumn="0" w:oddVBand="0" w:evenVBand="0" w:oddHBand="0" w:evenHBand="1" w:firstRowFirstColumn="0" w:firstRowLastColumn="0" w:lastRowFirstColumn="0" w:lastRowLastColumn="0"/>
            </w:pPr>
            <w:r>
              <w:rPr>
                <w:color w:val="1F242E"/>
                <w:sz w:val="21"/>
              </w:rPr>
              <w:t>Local development environment executing chunked data streaming.</w:t>
            </w:r>
          </w:p>
        </w:tc>
      </w:tr>
    </w:tbl>
    <w:p w14:paraId="55A25215" w14:textId="0CDCE9A8" w:rsidR="003774C2" w:rsidRDefault="003774C2"/>
    <w:sectPr w:rsidR="003774C2" w:rsidSect="006815CA">
      <w:footerReference w:type="default" r:id="rId15"/>
      <w:pgSz w:w="12240" w:h="15840"/>
      <w:pgMar w:top="567" w:right="567" w:bottom="567" w:left="56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0957" w14:textId="77777777" w:rsidR="00193772" w:rsidRDefault="00193772">
      <w:pPr>
        <w:spacing w:after="0" w:line="240" w:lineRule="auto"/>
      </w:pPr>
      <w:r>
        <w:separator/>
      </w:r>
    </w:p>
  </w:endnote>
  <w:endnote w:type="continuationSeparator" w:id="0">
    <w:p w14:paraId="347E7A86" w14:textId="77777777" w:rsidR="00193772" w:rsidRDefault="00193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7D8B" w14:textId="77777777" w:rsidR="003774C2" w:rsidRDefault="00377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5B7F" w14:textId="23FF2B69" w:rsidR="003774C2" w:rsidRDefault="00000000">
    <w:pPr>
      <w:pStyle w:val="Footer"/>
      <w:jc w:val="center"/>
    </w:pPr>
    <w:r>
      <w:rPr>
        <w:color w:val="555D6E"/>
        <w:sz w:val="22"/>
      </w:rPr>
      <w:fldChar w:fldCharType="begin"/>
    </w:r>
    <w:r>
      <w:rPr>
        <w:color w:val="555D6E"/>
        <w:sz w:val="22"/>
      </w:rPr>
      <w:instrText>PAGE</w:instrText>
    </w:r>
    <w:r>
      <w:rPr>
        <w:color w:val="555D6E"/>
        <w:sz w:val="22"/>
      </w:rPr>
      <w:fldChar w:fldCharType="separate"/>
    </w:r>
    <w:r w:rsidR="006815CA">
      <w:rPr>
        <w:noProof/>
        <w:color w:val="555D6E"/>
        <w:sz w:val="22"/>
      </w:rPr>
      <w:t>i</w:t>
    </w:r>
    <w:r>
      <w:rPr>
        <w:color w:val="555D6E"/>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4BF3" w14:textId="0F312BC5" w:rsidR="003774C2" w:rsidRDefault="00000000">
    <w:pPr>
      <w:pStyle w:val="Footer"/>
      <w:jc w:val="center"/>
    </w:pPr>
    <w:r>
      <w:rPr>
        <w:color w:val="555D6E"/>
        <w:sz w:val="22"/>
      </w:rPr>
      <w:fldChar w:fldCharType="begin"/>
    </w:r>
    <w:r>
      <w:rPr>
        <w:color w:val="555D6E"/>
        <w:sz w:val="22"/>
      </w:rPr>
      <w:instrText>PAGE</w:instrText>
    </w:r>
    <w:r>
      <w:rPr>
        <w:color w:val="555D6E"/>
        <w:sz w:val="22"/>
      </w:rPr>
      <w:fldChar w:fldCharType="separate"/>
    </w:r>
    <w:r w:rsidR="006815CA">
      <w:rPr>
        <w:noProof/>
        <w:color w:val="555D6E"/>
        <w:sz w:val="22"/>
      </w:rPr>
      <w:t>1</w:t>
    </w:r>
    <w:r>
      <w:rPr>
        <w:color w:val="555D6E"/>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D7F1" w14:textId="77777777" w:rsidR="00193772" w:rsidRDefault="00193772">
      <w:pPr>
        <w:spacing w:after="0" w:line="240" w:lineRule="auto"/>
      </w:pPr>
      <w:r>
        <w:separator/>
      </w:r>
    </w:p>
  </w:footnote>
  <w:footnote w:type="continuationSeparator" w:id="0">
    <w:p w14:paraId="07AF0B46" w14:textId="77777777" w:rsidR="00193772" w:rsidRDefault="00193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800727">
    <w:abstractNumId w:val="8"/>
  </w:num>
  <w:num w:numId="2" w16cid:durableId="135149744">
    <w:abstractNumId w:val="6"/>
  </w:num>
  <w:num w:numId="3" w16cid:durableId="340669484">
    <w:abstractNumId w:val="5"/>
  </w:num>
  <w:num w:numId="4" w16cid:durableId="1378050335">
    <w:abstractNumId w:val="4"/>
  </w:num>
  <w:num w:numId="5" w16cid:durableId="1655335217">
    <w:abstractNumId w:val="7"/>
  </w:num>
  <w:num w:numId="6" w16cid:durableId="1694501177">
    <w:abstractNumId w:val="3"/>
  </w:num>
  <w:num w:numId="7" w16cid:durableId="1412314884">
    <w:abstractNumId w:val="2"/>
  </w:num>
  <w:num w:numId="8" w16cid:durableId="876506837">
    <w:abstractNumId w:val="1"/>
  </w:num>
  <w:num w:numId="9" w16cid:durableId="1541673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772"/>
    <w:rsid w:val="0029639D"/>
    <w:rsid w:val="00326F90"/>
    <w:rsid w:val="003774C2"/>
    <w:rsid w:val="00442380"/>
    <w:rsid w:val="006815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9EDA8"/>
  <w14:defaultImageDpi w14:val="300"/>
  <w15:docId w15:val="{B57BA054-1D9A-4CA8-B103-F90A5D9E9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9276</Words>
  <Characters>52877</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Laxminarayan Sahu</cp:lastModifiedBy>
  <cp:revision>3</cp:revision>
  <dcterms:created xsi:type="dcterms:W3CDTF">2013-12-23T23:15:00Z</dcterms:created>
  <dcterms:modified xsi:type="dcterms:W3CDTF">2026-09-21T07:23:00Z</dcterms:modified>
  <cp:category/>
</cp:coreProperties>
</file>