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76"/>
        <w:jc w:val="center"/>
      </w:pPr>
      <w:r>
        <w:rPr>
          <w:rFonts w:ascii="Arial" w:cs="Arial" w:eastAsia="Arial" w:hAnsi="Arial"/>
          <w:b/>
          <w:bCs/>
          <w:i w:val="false"/>
          <w:iCs w:val="false"/>
          <w:color w:val="4A5568"/>
          <w:sz w:val="24"/>
          <w:szCs w:val="24"/>
        </w:rPr>
        <w:t xml:space="preserve">DUOC UC — ESCUELA DE INFORMÁTICA Y TELECOMUNICACIONES</w:t>
      </w:r>
    </w:p>
    <w:p>
      <w:pPr>
        <w:spacing w:after="140" w:line="276"/>
        <w:jc w:val="center"/>
      </w:pPr>
      <w:r>
        <w:rPr>
          <w:rFonts w:ascii="Arial" w:cs="Arial" w:eastAsia="Arial" w:hAnsi="Arial"/>
          <w:b w:val="false"/>
          <w:bCs w:val="false"/>
          <w:i w:val="false"/>
          <w:iCs w:val="false"/>
          <w:color w:val="4A5568"/>
          <w:sz w:val="20"/>
          <w:szCs w:val="20"/>
        </w:rPr>
        <w:t xml:space="preserve">Desarrollo Fullstack II (DSY1104) — Evaluación Parcial 2</w:t>
      </w:r>
    </w:p>
    <w:p>
      <w:pPr>
        <w:spacing w:after="200" w:before="500"/>
      </w:pPr>
    </w:p>
    <w:p>
      <w:pPr>
        <w:spacing w:after="140" w:line="276"/>
        <w:jc w:val="center"/>
      </w:pPr>
      <w:r>
        <w:rPr>
          <w:rFonts w:ascii="Arial" w:cs="Arial" w:eastAsia="Arial" w:hAnsi="Arial"/>
          <w:b/>
          <w:bCs/>
          <w:i w:val="false"/>
          <w:iCs w:val="false"/>
          <w:color w:val="1A365D"/>
          <w:sz w:val="36"/>
          <w:szCs w:val="36"/>
        </w:rPr>
        <w:t xml:space="preserve">INFORME DE PRUEBAS UNITARIAS Y COBERTURA DE CÓDIGO</w:t>
      </w:r>
    </w:p>
    <w:p>
      <w:pPr>
        <w:spacing w:after="140" w:line="276"/>
        <w:jc w:val="center"/>
      </w:pPr>
      <w:r>
        <w:rPr>
          <w:rFonts w:ascii="Arial" w:cs="Arial" w:eastAsia="Arial" w:hAnsi="Arial"/>
          <w:b/>
          <w:bCs/>
          <w:i w:val="false"/>
          <w:iCs w:val="false"/>
          <w:color w:val="2B6CB0"/>
          <w:sz w:val="30"/>
          <w:szCs w:val="30"/>
        </w:rPr>
        <w:t xml:space="preserve">PASTELERÍA MIL SABORES</w:t>
      </w:r>
    </w:p>
    <w:p>
      <w:pPr>
        <w:spacing w:after="140" w:line="276"/>
        <w:jc w:val="center"/>
      </w:pPr>
      <w:r>
        <w:rPr>
          <w:rFonts w:ascii="Arial" w:cs="Arial" w:eastAsia="Arial" w:hAnsi="Arial"/>
          <w:b/>
          <w:bCs/>
          <w:i w:val="false"/>
          <w:iCs w:val="false"/>
          <w:color w:val="4A5568"/>
          <w:sz w:val="21"/>
          <w:szCs w:val="21"/>
        </w:rPr>
        <w:t xml:space="preserve">Evaluación de Calidad de Software, Aislamiento y Métricas de Testing con Vitest</w:t>
      </w:r>
    </w:p>
    <w:p>
      <w:pPr>
        <w:spacing w:after="300" w:before="5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Documento:</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Informe Técnico de Pruebas Unitarias y Cobertura de Código</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Proyecto:</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Pastelería Mil Sabores (Frontend SPA)</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Asignatura:</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Desarrollo Fullstack II (DSY1104)</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Institución:</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Duoc UC</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Integrantes:</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[Nombre del Alumno 1 / Nombre del Alumno 2]</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Docente:</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[Nombre del Profesor / Docente]</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Fecha de Ejecución y Auditoría:</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17 de Octubre de 2026</w:t>
            </w:r>
          </w:p>
        </w:tc>
      </w:tr>
      <w:tr>
        <w:tc>
          <w:tcPr>
            <w:tcW w:type="pct" w:w="17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Estado de Pruebas:</w:t>
            </w:r>
          </w:p>
        </w:tc>
        <w:tc>
          <w:tcPr>
            <w:tcW w:type="pct" w:w="3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171 Pasadas / 0 Fallidas (100% de Éxito)</w:t>
            </w:r>
          </w:p>
        </w:tc>
      </w:tr>
    </w:tbl>
    <w:p>
      <w:pPr>
        <w:pageBreakBefore/>
      </w:pPr>
    </w:p>
    <w:p>
      <w:pPr>
        <w:pStyle w:val="Heading1"/>
        <w:spacing w:after="180" w:before="360"/>
      </w:pPr>
      <w:r>
        <w:rPr>
          <w:rFonts w:ascii="Arial" w:cs="Arial" w:eastAsia="Arial" w:hAnsi="Arial"/>
          <w:b/>
          <w:bCs/>
          <w:color w:val="1A365D"/>
          <w:sz w:val="30"/>
          <w:szCs w:val="30"/>
        </w:rPr>
        <w:t xml:space="preserve">2. Introducción</w:t>
      </w:r>
    </w:p>
    <w:p>
      <w:pPr>
        <w:spacing w:after="140" w:line="276"/>
        <w:jc w:val="left"/>
      </w:pPr>
      <w:r>
        <w:rPr>
          <w:rFonts w:ascii="Arial" w:cs="Arial" w:eastAsia="Arial" w:hAnsi="Arial"/>
          <w:b w:val="false"/>
          <w:bCs w:val="false"/>
          <w:i w:val="false"/>
          <w:iCs w:val="false"/>
          <w:color w:val="2D3748"/>
          <w:sz w:val="21"/>
          <w:szCs w:val="21"/>
        </w:rPr>
        <w:t xml:space="preserve">En el desarrollo de aplicaciones web modernas, el aseguramiento de la calidad (QA) y la automatización de pruebas unitarias constituyen una disciplina crítica para verificar que cada componente, módulo y servicio funcione de acuerdo con los requisitos especificados. Para el proyecto Pastelería Mil Sabores en su Evaluación Parcial 2, se implementó una suite integral de pruebas con el framework Vitest.</w:t>
      </w:r>
    </w:p>
    <w:p>
      <w:pPr>
        <w:spacing w:after="140" w:line="276"/>
        <w:jc w:val="left"/>
      </w:pPr>
      <w:r>
        <w:rPr>
          <w:rFonts w:ascii="Arial" w:cs="Arial" w:eastAsia="Arial" w:hAnsi="Arial"/>
          <w:b w:val="false"/>
          <w:bCs w:val="false"/>
          <w:i w:val="false"/>
          <w:iCs w:val="false"/>
          <w:color w:val="2D3748"/>
          <w:sz w:val="21"/>
          <w:szCs w:val="21"/>
        </w:rPr>
        <w:t xml:space="preserve">El presente informe es un documento técnico independiente y complementario a la Especificación de Requisitos de Software (ERS V2). Mientras que el ERS define qué debe hacer el software a nivel funcional y arquitectónico, este informe audita cómo se ha comprobado dicho comportamiento en el código fuente, documentando la estrategia de aislamiento, los casos de prueba ejecutados y los porcentajes reales de cobertura de código obtenidos mediante el motor @vitest/coverage-v8.</w:t>
      </w:r>
    </w:p>
    <w:p>
      <w:pPr>
        <w:pStyle w:val="Heading1"/>
        <w:spacing w:after="180" w:before="360"/>
      </w:pPr>
      <w:r>
        <w:rPr>
          <w:rFonts w:ascii="Arial" w:cs="Arial" w:eastAsia="Arial" w:hAnsi="Arial"/>
          <w:b/>
          <w:bCs/>
          <w:color w:val="1A365D"/>
          <w:sz w:val="30"/>
          <w:szCs w:val="30"/>
        </w:rPr>
        <w:t xml:space="preserve">3. Objetivos del Proceso de Pruebas</w:t>
      </w:r>
    </w:p>
    <w:p>
      <w:pPr>
        <w:pStyle w:val="Heading2"/>
        <w:spacing w:after="140" w:before="260"/>
      </w:pPr>
      <w:r>
        <w:rPr>
          <w:rFonts w:ascii="Arial" w:cs="Arial" w:eastAsia="Arial" w:hAnsi="Arial"/>
          <w:b/>
          <w:bCs/>
          <w:color w:val="2B6CB0"/>
          <w:sz w:val="24"/>
          <w:szCs w:val="24"/>
        </w:rPr>
        <w:t xml:space="preserve">3.1 Objetivo General</w:t>
      </w:r>
    </w:p>
    <w:p>
      <w:pPr>
        <w:spacing w:after="140" w:line="276"/>
        <w:jc w:val="left"/>
      </w:pPr>
      <w:r>
        <w:rPr>
          <w:rFonts w:ascii="Arial" w:cs="Arial" w:eastAsia="Arial" w:hAnsi="Arial"/>
          <w:b w:val="false"/>
          <w:bCs w:val="false"/>
          <w:i w:val="false"/>
          <w:iCs w:val="false"/>
          <w:color w:val="2D3748"/>
          <w:sz w:val="21"/>
          <w:szCs w:val="21"/>
        </w:rPr>
        <w:t xml:space="preserve">Evaluar, verificar y certificar la calidad funcional, estabilidad y cobertura de código del frontend de Pastelería Mil Sabores mediante pruebas unitarias automatizadas con Vitest, asegurando un umbral de cobertura superior al 80% exigido por la rúbrica de la asignatura Desarrollo Fullstack II.</w:t>
      </w:r>
    </w:p>
    <w:p>
      <w:pPr>
        <w:pStyle w:val="Heading2"/>
        <w:spacing w:after="140" w:before="260"/>
      </w:pPr>
      <w:r>
        <w:rPr>
          <w:rFonts w:ascii="Arial" w:cs="Arial" w:eastAsia="Arial" w:hAnsi="Arial"/>
          <w:b/>
          <w:bCs/>
          <w:color w:val="2B6CB0"/>
          <w:sz w:val="24"/>
          <w:szCs w:val="24"/>
        </w:rPr>
        <w:t xml:space="preserve">3.2 Objetivos Específicos</w:t>
      </w:r>
    </w:p>
    <w:p>
      <w:pPr>
        <w:spacing w:after="140" w:line="276"/>
        <w:jc w:val="left"/>
      </w:pPr>
      <w:r>
        <w:rPr>
          <w:rFonts w:ascii="Arial" w:cs="Arial" w:eastAsia="Arial" w:hAnsi="Arial"/>
          <w:b w:val="false"/>
          <w:bCs w:val="false"/>
          <w:i w:val="false"/>
          <w:iCs w:val="false"/>
          <w:color w:val="2D3748"/>
          <w:sz w:val="21"/>
          <w:szCs w:val="21"/>
        </w:rPr>
        <w:t xml:space="preserve">1. Verificar el renderizado libre de errores de los componentes de la interfaz de usuario bajo la metodología Atomic Design (átomos, moléculas, organismos, plantillas y páginas).
2. Validar las interacciones críticas del usuario: agregar productos al carrito, modificar cantidades, filtrar por categoría, buscar por texto, autenticación y envío de formularios.
3. Comprobar la lógica de negocio y cálculos de precios efectivos con descuento mediante la función getPrecioEfectivo() y la correcta formulación de pedidos con identificador único PED-.
4. Garantizar la persistencia y migración de datos en LocalStorage (claves milSabores_*) simuladas en entorno controlado jsdom con aislamiento estricto entre pruebas.
5. Cuantificar el porcentaje de cobertura de líneas, ramas, funciones y sentencias, identificando áreas con cobertura completa y oportunidades de mejora.</w:t>
      </w:r>
    </w:p>
    <w:p>
      <w:pPr>
        <w:pStyle w:val="Heading1"/>
        <w:spacing w:after="180" w:before="360"/>
      </w:pPr>
      <w:r>
        <w:rPr>
          <w:rFonts w:ascii="Arial" w:cs="Arial" w:eastAsia="Arial" w:hAnsi="Arial"/>
          <w:b/>
          <w:bCs/>
          <w:color w:val="1A365D"/>
          <w:sz w:val="30"/>
          <w:szCs w:val="30"/>
        </w:rPr>
        <w:t xml:space="preserve">4. Entorno de Ejecución y Herramientas de Testing</w:t>
      </w:r>
    </w:p>
    <w:p>
      <w:pPr>
        <w:spacing w:after="140" w:line="276"/>
        <w:jc w:val="left"/>
      </w:pPr>
      <w:r>
        <w:rPr>
          <w:rFonts w:ascii="Arial" w:cs="Arial" w:eastAsia="Arial" w:hAnsi="Arial"/>
          <w:b w:val="false"/>
          <w:bCs w:val="false"/>
          <w:i w:val="false"/>
          <w:iCs w:val="false"/>
          <w:color w:val="2D3748"/>
          <w:sz w:val="21"/>
          <w:szCs w:val="21"/>
        </w:rPr>
        <w:t xml:space="preserve">La infraestructura de pruebas automatizadas está basada en herramientas modernas y estándares de la industria compatibles con el ecosistema Vite y React 19. Todas las versiones han sido verificadas en el archivo package.json del proyecto: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8"/>
        <w:gridCol w:w="1625"/>
        <w:gridCol w:w="4513"/>
      </w:tblGrid>
      <w:tr>
        <w:tc>
          <w:tcPr>
            <w:tcW w:type="pct" w:w="1600"/>
            <w:shd w:fill="2B6CB0" w:val="clear"/>
          </w:tcPr>
          <w:p>
            <w:pPr>
              <w:jc w:val="left"/>
            </w:pPr>
            <w:r>
              <w:rPr>
                <w:rFonts w:ascii="Arial" w:cs="Arial" w:eastAsia="Arial" w:hAnsi="Arial"/>
                <w:b/>
                <w:bCs/>
                <w:color w:val="FFFFFF"/>
                <w:sz w:val="19"/>
                <w:szCs w:val="19"/>
              </w:rPr>
              <w:t xml:space="preserve">Herramienta / Dependencia</w:t>
            </w:r>
          </w:p>
        </w:tc>
        <w:tc>
          <w:tcPr>
            <w:tcW w:type="pct" w:w="900"/>
            <w:shd w:fill="2B6CB0" w:val="clear"/>
          </w:tcPr>
          <w:p>
            <w:pPr>
              <w:jc w:val="left"/>
            </w:pPr>
            <w:r>
              <w:rPr>
                <w:rFonts w:ascii="Arial" w:cs="Arial" w:eastAsia="Arial" w:hAnsi="Arial"/>
                <w:b/>
                <w:bCs/>
                <w:color w:val="FFFFFF"/>
                <w:sz w:val="19"/>
                <w:szCs w:val="19"/>
              </w:rPr>
              <w:t xml:space="preserve">Versión Real</w:t>
            </w:r>
          </w:p>
        </w:tc>
        <w:tc>
          <w:tcPr>
            <w:tcW w:type="pct" w:w="2500"/>
            <w:shd w:fill="2B6CB0" w:val="clear"/>
          </w:tcPr>
          <w:p>
            <w:pPr>
              <w:jc w:val="left"/>
            </w:pPr>
            <w:r>
              <w:rPr>
                <w:rFonts w:ascii="Arial" w:cs="Arial" w:eastAsia="Arial" w:hAnsi="Arial"/>
                <w:b/>
                <w:bCs/>
                <w:color w:val="FFFFFF"/>
                <w:sz w:val="19"/>
                <w:szCs w:val="19"/>
              </w:rPr>
              <w:t xml:space="preserve">Rol y Propósito en la Suite de Pruebas</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Vitest</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5.0.5</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 runner nativo impulsado por Vite para ejecución de pruebas unitarias ultrarrápidas y aserciones.</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Vite</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6.3.1</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Empaquetador y motor de transformación de ES Modules y JSX para compilación en caliente.</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React Testing Library</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16.3.3</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Utilidades centradas en el usuario (render, screen, fireEvent) para probar componentes de React.</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@testing-library/jest-dom</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7.0.1</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Matchers semánticos para aserciones del DOM (toBeInTheDocument, toHaveTextContent, etc.).</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@testing-library/user-event</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14.6.8</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Simulación fidedigna de interacciones de usuario (clicks, tecleo, cambios de input).</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jsdom</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30.1.3</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Emulación completa del DOM de navegador en Node.js, incluyendo Window, Document y Web Storage API.</w:t>
            </w:r>
          </w:p>
        </w:tc>
      </w:tr>
      <w:tr>
        <w:tc>
          <w:tcPr>
            <w:tcW w:type="pct" w:w="1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@vitest/coverage-v8</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5.0.5</w:t>
            </w:r>
          </w:p>
        </w:tc>
        <w:tc>
          <w:tcPr>
            <w:tcW w:type="pct"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Motor de instrumentación nativo de V8 para medir cobertura de líneas, ramas, funciones y sentencias.</w:t>
            </w:r>
          </w:p>
        </w:tc>
      </w:tr>
    </w:tbl>
    <w:p>
      <w:pPr>
        <w:pStyle w:val="Heading1"/>
        <w:spacing w:after="180" w:before="360"/>
      </w:pPr>
      <w:r>
        <w:rPr>
          <w:rFonts w:ascii="Arial" w:cs="Arial" w:eastAsia="Arial" w:hAnsi="Arial"/>
          <w:b/>
          <w:bCs/>
          <w:color w:val="1A365D"/>
          <w:sz w:val="30"/>
          <w:szCs w:val="30"/>
        </w:rPr>
        <w:t xml:space="preserve">5. Estrategia de Pruebas</w:t>
      </w:r>
    </w:p>
    <w:p>
      <w:pPr>
        <w:spacing w:after="140" w:line="276"/>
        <w:jc w:val="left"/>
      </w:pPr>
      <w:r>
        <w:rPr>
          <w:rFonts w:ascii="Arial" w:cs="Arial" w:eastAsia="Arial" w:hAnsi="Arial"/>
          <w:b w:val="false"/>
          <w:bCs w:val="false"/>
          <w:i w:val="false"/>
          <w:iCs w:val="false"/>
          <w:color w:val="2D3748"/>
          <w:sz w:val="21"/>
          <w:szCs w:val="21"/>
        </w:rPr>
        <w:t xml:space="preserve">La estrategia adoptada se fundamenta en pruebas unitarias de caja blanca y de comportamiento (Behavior-Driven Testing), diseñadas para simular el comportamiento del usuario final sin acoplarse a detalles de implementación interna. Las pruebas se dividen en las siguientes categorías:</w:t>
      </w:r>
    </w:p>
    <w:p>
      <w:pPr>
        <w:spacing w:after="140" w:line="276"/>
        <w:jc w:val="left"/>
      </w:pPr>
      <w:r>
        <w:rPr>
          <w:rFonts w:ascii="Arial" w:cs="Arial" w:eastAsia="Arial" w:hAnsi="Arial"/>
          <w:b w:val="false"/>
          <w:bCs w:val="false"/>
          <w:i w:val="false"/>
          <w:iCs w:val="false"/>
          <w:color w:val="2D3748"/>
          <w:sz w:val="21"/>
          <w:szCs w:val="21"/>
        </w:rPr>
        <w:t xml:space="preserve">1. Pruebas de Renderizado y Estructura Visual: Se comprueba que los componentes atómicos (Alert, Badge, Button, Input), moléculas (FormField, QuantityControl, SearchBar) y organismos (Navbar, Footer, ProductCard, CartItem) se monten en el DOM con las clases de Bootstrap, atributos de accesibilidad (role, aria-label) y textos esperados.
2. Pruebas de Interacción y Eventos de Usuario: Mediante fireEvent y userEvent se simulan clicks de botones (Añadir al carrito, Eliminar, Limpiar búsqueda), digitación en campos de texto (búsqueda, login, registro, checkout) y selección de categorías.
3. Pruebas de Validación y Manejo de Errores: Se verifican escenarios donde el usuario introduce datos inválidos (contraseñas cortas, correos mal estructurados, campos vacíos en checkout, precios no enteros en administración), comprobando la emisión de alertas contextuales de error sin romper la aplicación.
4. Pruebas de Lógica de Negocio Pura (Servicios): Pruebas aisladas sobre las funciones de los 5 servicios (productosService, carritoService, pedidosService, usuariosService y blogService), verificando reglas de cálculo de ofertas (getPrecioEfectivo), filtrados, generación de identificadores PED- y totales.
5. Pruebas de Persistencia y Migración: Verificación de lectura, escritura y sincronización en LocalStorage con simulación de versiones de catálogo (CATALOG_VERSION = 3).</w:t>
      </w:r>
    </w:p>
    <w:p>
      <w:pPr>
        <w:spacing w:after="140" w:line="276"/>
        <w:jc w:val="left"/>
      </w:pPr>
      <w:r>
        <w:rPr>
          <w:rFonts w:ascii="Arial" w:cs="Arial" w:eastAsia="Arial" w:hAnsi="Arial"/>
          <w:b w:val="false"/>
          <w:bCs w:val="false"/>
          <w:i/>
          <w:iCs/>
          <w:color w:val="4A5568"/>
          <w:sz w:val="21"/>
          <w:szCs w:val="21"/>
        </w:rPr>
        <w:t xml:space="preserve">Nota Académica de Alcance: No se realizaron pruebas de carga, pruebas de estrés ni pruebas de penetración o ciberseguridad avanzada, ya que el sistema opera puramente en el cliente y tales pruebas exceden los requisitos de la Evaluación Parcial 2.</w:t>
      </w:r>
    </w:p>
    <w:p>
      <w:pPr>
        <w:pStyle w:val="Heading1"/>
        <w:spacing w:after="180" w:before="360"/>
      </w:pPr>
      <w:r>
        <w:rPr>
          <w:rFonts w:ascii="Arial" w:cs="Arial" w:eastAsia="Arial" w:hAnsi="Arial"/>
          <w:b/>
          <w:bCs/>
          <w:color w:val="1A365D"/>
          <w:sz w:val="30"/>
          <w:szCs w:val="30"/>
        </w:rPr>
        <w:t xml:space="preserve">6. Configuración de Vitest y Ejecución</w:t>
      </w:r>
    </w:p>
    <w:p>
      <w:pPr>
        <w:pStyle w:val="Heading2"/>
        <w:spacing w:after="140" w:before="260"/>
      </w:pPr>
      <w:r>
        <w:rPr>
          <w:rFonts w:ascii="Arial" w:cs="Arial" w:eastAsia="Arial" w:hAnsi="Arial"/>
          <w:b/>
          <w:bCs/>
          <w:color w:val="2B6CB0"/>
          <w:sz w:val="24"/>
          <w:szCs w:val="24"/>
        </w:rPr>
        <w:t xml:space="preserve">6.1 Configuración en vite.config.js</w:t>
      </w:r>
    </w:p>
    <w:p>
      <w:pPr>
        <w:spacing w:after="140" w:line="276"/>
        <w:jc w:val="left"/>
      </w:pPr>
      <w:r>
        <w:rPr>
          <w:rFonts w:ascii="Arial" w:cs="Arial" w:eastAsia="Arial" w:hAnsi="Arial"/>
          <w:b w:val="false"/>
          <w:bCs w:val="false"/>
          <w:i w:val="false"/>
          <w:iCs w:val="false"/>
          <w:color w:val="2D3748"/>
          <w:sz w:val="21"/>
          <w:szCs w:val="21"/>
        </w:rPr>
        <w:t xml:space="preserve">La configuración de Vitest se encuentra integrada en vite.config.js, definiendo el entorno jsdom, el archivo de setup global y los patrones de inclusión/exclusión de cobertura:</w:t>
      </w:r>
    </w:p>
    <w:p>
      <w:pPr>
        <w:spacing w:after="140" w:line="276"/>
        <w:jc w:val="left"/>
      </w:pPr>
      <w:r>
        <w:rPr>
          <w:rFonts w:ascii="Arial" w:cs="Arial" w:eastAsia="Arial" w:hAnsi="Arial"/>
          <w:b w:val="false"/>
          <w:bCs w:val="false"/>
          <w:i w:val="false"/>
          <w:iCs w:val="false"/>
          <w:color w:val="2D3748"/>
          <w:sz w:val="21"/>
          <w:szCs w:val="21"/>
        </w:rPr>
        <w:t xml:space="preserve">• Entorno: jsdom (emula navegador en memoria)
• Archivo de Setup: test/setup.js
• Inclusión de Pruebas: test/**/*.{test,spec}.{js,jsx} (25 archivos de prueba .spec.jsx)
• Proveedor de Cobertura: v8 (@vitest/coverage-v8)
• Reporteros de Cobertura: text (consola) y html (carpeta coverage/)
• Archivos incluidos en Cobertura: src/**/*.{js,jsx} (excluyendo src/main.jsx y src/assets/**)</w:t>
      </w:r>
    </w:p>
    <w:p>
      <w:pPr>
        <w:pStyle w:val="Heading2"/>
        <w:spacing w:after="140" w:before="260"/>
      </w:pPr>
      <w:r>
        <w:rPr>
          <w:rFonts w:ascii="Arial" w:cs="Arial" w:eastAsia="Arial" w:hAnsi="Arial"/>
          <w:b/>
          <w:bCs/>
          <w:color w:val="2B6CB0"/>
          <w:sz w:val="24"/>
          <w:szCs w:val="24"/>
        </w:rPr>
        <w:t xml:space="preserve">6.2 Comandos de Ejecución Oficiales</w:t>
      </w:r>
    </w:p>
    <w:p>
      <w:pPr>
        <w:spacing w:after="140" w:line="276"/>
        <w:jc w:val="left"/>
      </w:pPr>
      <w:r>
        <w:rPr>
          <w:rFonts w:ascii="Arial" w:cs="Arial" w:eastAsia="Arial" w:hAnsi="Arial"/>
          <w:b w:val="false"/>
          <w:bCs w:val="false"/>
          <w:i w:val="false"/>
          <w:iCs w:val="false"/>
          <w:color w:val="2D3748"/>
          <w:sz w:val="21"/>
          <w:szCs w:val="21"/>
        </w:rPr>
        <w:t xml:space="preserve">Para ejecutar la suite completa y generar el informe de cobertura, se definieron en package.json los siguientes scripts:</w:t>
      </w:r>
    </w:p>
    <w:p>
      <w:pPr>
        <w:spacing w:after="140" w:line="276"/>
        <w:jc w:val="left"/>
      </w:pPr>
      <w:r>
        <w:rPr>
          <w:rFonts w:ascii="Arial" w:cs="Arial" w:eastAsia="Arial" w:hAnsi="Arial"/>
          <w:b/>
          <w:bCs/>
          <w:i w:val="false"/>
          <w:iCs w:val="false"/>
          <w:color w:val="1A365D"/>
          <w:sz w:val="21"/>
          <w:szCs w:val="21"/>
        </w:rPr>
        <w:t xml:space="preserve">npm.cmd run test:coverage   (Genera reporte por consola y HTML en coverage/)</w:t>
      </w:r>
    </w:p>
    <w:p>
      <w:pPr>
        <w:spacing w:after="140" w:line="276"/>
        <w:jc w:val="left"/>
      </w:pPr>
      <w:r>
        <w:rPr>
          <w:rFonts w:ascii="Arial" w:cs="Arial" w:eastAsia="Arial" w:hAnsi="Arial"/>
          <w:b/>
          <w:bCs/>
          <w:i w:val="false"/>
          <w:iCs w:val="false"/>
          <w:color w:val="1A365D"/>
          <w:sz w:val="21"/>
          <w:szCs w:val="21"/>
        </w:rPr>
        <w:t xml:space="preserve">npm.cmd run test:run        (Ejecuta las pruebas en modo batch sin watcher)</w:t>
      </w:r>
    </w:p>
    <w:p>
      <w:pPr>
        <w:spacing w:after="140" w:line="276"/>
        <w:jc w:val="left"/>
      </w:pPr>
      <w:r>
        <w:rPr>
          <w:rFonts w:ascii="Arial" w:cs="Arial" w:eastAsia="Arial" w:hAnsi="Arial"/>
          <w:b/>
          <w:bCs/>
          <w:i w:val="false"/>
          <w:iCs w:val="false"/>
          <w:color w:val="1A365D"/>
          <w:sz w:val="21"/>
          <w:szCs w:val="21"/>
        </w:rPr>
        <w:t xml:space="preserve">npm.cmd test                (Modo interactivo watcher para desarrollo)</w:t>
      </w:r>
    </w:p>
    <w:p>
      <w:pPr>
        <w:pStyle w:val="Heading1"/>
        <w:spacing w:after="180" w:before="360"/>
      </w:pPr>
      <w:r>
        <w:rPr>
          <w:rFonts w:ascii="Arial" w:cs="Arial" w:eastAsia="Arial" w:hAnsi="Arial"/>
          <w:b/>
          <w:bCs/>
          <w:color w:val="1A365D"/>
          <w:sz w:val="30"/>
          <w:szCs w:val="30"/>
        </w:rPr>
        <w:t xml:space="preserve">7. Casos de Prueba Ejecutados</w:t>
      </w:r>
    </w:p>
    <w:p>
      <w:pPr>
        <w:spacing w:after="140" w:line="276"/>
        <w:jc w:val="left"/>
      </w:pPr>
      <w:r>
        <w:rPr>
          <w:rFonts w:ascii="Arial" w:cs="Arial" w:eastAsia="Arial" w:hAnsi="Arial"/>
          <w:b w:val="false"/>
          <w:bCs w:val="false"/>
          <w:i w:val="false"/>
          <w:iCs w:val="false"/>
          <w:color w:val="2D3748"/>
          <w:sz w:val="21"/>
          <w:szCs w:val="21"/>
        </w:rPr>
        <w:t xml:space="preserve">A continuación se detallan los casos de prueba ejecutados en los 25 archivos de especificación, organizados por módulos temáticos. Todos los casos obtuvieron estado PASSED (Aprobado):</w:t>
      </w:r>
    </w:p>
    <w:p>
      <w:pPr>
        <w:pStyle w:val="Heading2"/>
        <w:spacing w:after="140" w:before="260"/>
      </w:pPr>
      <w:r>
        <w:rPr>
          <w:rFonts w:ascii="Arial" w:cs="Arial" w:eastAsia="Arial" w:hAnsi="Arial"/>
          <w:b/>
          <w:bCs/>
          <w:color w:val="2B6CB0"/>
          <w:sz w:val="24"/>
          <w:szCs w:val="24"/>
        </w:rPr>
        <w:t xml:space="preserve">7.1 Catálogo, Búsqueda, Detalle y Ofertas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1986"/>
        <w:gridCol w:w="2708"/>
        <w:gridCol w:w="903"/>
      </w:tblGrid>
      <w:tr>
        <w:tc>
          <w:tcPr>
            <w:tcW w:type="pct" w:w="600"/>
            <w:shd w:fill="2B6CB0" w:val="clear"/>
          </w:tcPr>
          <w:p>
            <w:pPr>
              <w:jc w:val="left"/>
            </w:pPr>
            <w:r>
              <w:rPr>
                <w:rFonts w:ascii="Arial" w:cs="Arial" w:eastAsia="Arial" w:hAnsi="Arial"/>
                <w:b/>
                <w:bCs/>
                <w:color w:val="FFFFFF"/>
                <w:sz w:val="19"/>
                <w:szCs w:val="19"/>
              </w:rPr>
              <w:t xml:space="preserve">ID Caso</w:t>
            </w:r>
          </w:p>
        </w:tc>
        <w:tc>
          <w:tcPr>
            <w:tcW w:type="pct" w:w="1300"/>
            <w:shd w:fill="2B6CB0" w:val="clear"/>
          </w:tcPr>
          <w:p>
            <w:pPr>
              <w:jc w:val="left"/>
            </w:pPr>
            <w:r>
              <w:rPr>
                <w:rFonts w:ascii="Arial" w:cs="Arial" w:eastAsia="Arial" w:hAnsi="Arial"/>
                <w:b/>
                <w:bCs/>
                <w:color w:val="FFFFFF"/>
                <w:sz w:val="19"/>
                <w:szCs w:val="19"/>
              </w:rPr>
              <w:t xml:space="preserve">Archivo de Prueba</w:t>
            </w:r>
          </w:p>
        </w:tc>
        <w:tc>
          <w:tcPr>
            <w:tcW w:type="pct" w:w="1100"/>
            <w:shd w:fill="2B6CB0" w:val="clear"/>
          </w:tcPr>
          <w:p>
            <w:pPr>
              <w:jc w:val="left"/>
            </w:pPr>
            <w:r>
              <w:rPr>
                <w:rFonts w:ascii="Arial" w:cs="Arial" w:eastAsia="Arial" w:hAnsi="Arial"/>
                <w:b/>
                <w:bCs/>
                <w:color w:val="FFFFFF"/>
                <w:sz w:val="19"/>
                <w:szCs w:val="19"/>
              </w:rPr>
              <w:t xml:space="preserve">Componente / Servicio</w:t>
            </w:r>
          </w:p>
        </w:tc>
        <w:tc>
          <w:tcPr>
            <w:tcW w:type="pct" w:w="1500"/>
            <w:shd w:fill="2B6CB0" w:val="clear"/>
          </w:tcPr>
          <w:p>
            <w:pPr>
              <w:jc w:val="left"/>
            </w:pPr>
            <w:r>
              <w:rPr>
                <w:rFonts w:ascii="Arial" w:cs="Arial" w:eastAsia="Arial" w:hAnsi="Arial"/>
                <w:b/>
                <w:bCs/>
                <w:color w:val="FFFFFF"/>
                <w:sz w:val="19"/>
                <w:szCs w:val="19"/>
              </w:rPr>
              <w:t xml:space="preserve">Comportamiento Evaluado</w:t>
            </w:r>
          </w:p>
        </w:tc>
        <w:tc>
          <w:tcPr>
            <w:tcW w:type="pct" w:w="500"/>
            <w:shd w:fill="2B6CB0" w:val="clear"/>
          </w:tcPr>
          <w:p>
            <w:pPr>
              <w:jc w:val="left"/>
            </w:pPr>
            <w:r>
              <w:rPr>
                <w:rFonts w:ascii="Arial" w:cs="Arial" w:eastAsia="Arial" w:hAnsi="Arial"/>
                <w:b/>
                <w:bCs/>
                <w:color w:val="FFFFFF"/>
                <w:sz w:val="19"/>
                <w:szCs w:val="19"/>
              </w:rPr>
              <w:t xml:space="preserve">Resultado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CP-CAT-01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test/Productos.spec.jsx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el catálogo y los productos iniciales.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CP-CAT-02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test/Productos.spec.jsx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Filtra productos en tiempo real según término de búsqueda.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CP-CAT-03</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test/Productos.spec.jsx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Valida que las 28 imágenes apunten a /images/productos/.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CP-DET-01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test/DetalleProducto.spec.jsx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DetalleProducto.jsx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Muestra detalles, precio, ingredientes e imagen del producto.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CP-DET-02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test/DetalleProducto.spec.jsx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DetalleProducto.jsx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Muestra mensaje de error cuando el ID del producto no existe.</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CP-OFE-01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test/Ofertas.spec.jsx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Ofertas.jsx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Filtra y muestra exclusivamente productos en oferta.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CP-SRV-01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test/productosService.spec.jsx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productosService.js</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Calcula precio efectivo con getPrecioEfectivo() correctamente.</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bl>
    <w:p>
      <w:pPr>
        <w:pStyle w:val="Heading2"/>
        <w:spacing w:after="140" w:before="260"/>
      </w:pPr>
      <w:r>
        <w:rPr>
          <w:rFonts w:ascii="Arial" w:cs="Arial" w:eastAsia="Arial" w:hAnsi="Arial"/>
          <w:b/>
          <w:bCs/>
          <w:color w:val="2B6CB0"/>
          <w:sz w:val="24"/>
          <w:szCs w:val="24"/>
        </w:rPr>
        <w:t xml:space="preserve">7.2 Carrito, Checkout y Compras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1986"/>
        <w:gridCol w:w="2708"/>
        <w:gridCol w:w="903"/>
      </w:tblGrid>
      <w:tr>
        <w:tc>
          <w:tcPr>
            <w:tcW w:type="pct" w:w="600"/>
            <w:shd w:fill="2B6CB0" w:val="clear"/>
          </w:tcPr>
          <w:p>
            <w:pPr>
              <w:jc w:val="left"/>
            </w:pPr>
            <w:r>
              <w:rPr>
                <w:rFonts w:ascii="Arial" w:cs="Arial" w:eastAsia="Arial" w:hAnsi="Arial"/>
                <w:b/>
                <w:bCs/>
                <w:color w:val="FFFFFF"/>
                <w:sz w:val="19"/>
                <w:szCs w:val="19"/>
              </w:rPr>
              <w:t xml:space="preserve">ID Caso</w:t>
            </w:r>
          </w:p>
        </w:tc>
        <w:tc>
          <w:tcPr>
            <w:tcW w:type="pct" w:w="1300"/>
            <w:shd w:fill="2B6CB0" w:val="clear"/>
          </w:tcPr>
          <w:p>
            <w:pPr>
              <w:jc w:val="left"/>
            </w:pPr>
            <w:r>
              <w:rPr>
                <w:rFonts w:ascii="Arial" w:cs="Arial" w:eastAsia="Arial" w:hAnsi="Arial"/>
                <w:b/>
                <w:bCs/>
                <w:color w:val="FFFFFF"/>
                <w:sz w:val="19"/>
                <w:szCs w:val="19"/>
              </w:rPr>
              <w:t xml:space="preserve">Archivo de Prueba</w:t>
            </w:r>
          </w:p>
        </w:tc>
        <w:tc>
          <w:tcPr>
            <w:tcW w:type="pct" w:w="1100"/>
            <w:shd w:fill="2B6CB0" w:val="clear"/>
          </w:tcPr>
          <w:p>
            <w:pPr>
              <w:jc w:val="left"/>
            </w:pPr>
            <w:r>
              <w:rPr>
                <w:rFonts w:ascii="Arial" w:cs="Arial" w:eastAsia="Arial" w:hAnsi="Arial"/>
                <w:b/>
                <w:bCs/>
                <w:color w:val="FFFFFF"/>
                <w:sz w:val="19"/>
                <w:szCs w:val="19"/>
              </w:rPr>
              <w:t xml:space="preserve">Componente / Servicio</w:t>
            </w:r>
          </w:p>
        </w:tc>
        <w:tc>
          <w:tcPr>
            <w:tcW w:type="pct" w:w="1500"/>
            <w:shd w:fill="2B6CB0" w:val="clear"/>
          </w:tcPr>
          <w:p>
            <w:pPr>
              <w:jc w:val="left"/>
            </w:pPr>
            <w:r>
              <w:rPr>
                <w:rFonts w:ascii="Arial" w:cs="Arial" w:eastAsia="Arial" w:hAnsi="Arial"/>
                <w:b/>
                <w:bCs/>
                <w:color w:val="FFFFFF"/>
                <w:sz w:val="19"/>
                <w:szCs w:val="19"/>
              </w:rPr>
              <w:t xml:space="preserve">Comportamiento Evaluado</w:t>
            </w:r>
          </w:p>
        </w:tc>
        <w:tc>
          <w:tcPr>
            <w:tcW w:type="pct" w:w="500"/>
            <w:shd w:fill="2B6CB0" w:val="clear"/>
          </w:tcPr>
          <w:p>
            <w:pPr>
              <w:jc w:val="left"/>
            </w:pPr>
            <w:r>
              <w:rPr>
                <w:rFonts w:ascii="Arial" w:cs="Arial" w:eastAsia="Arial" w:hAnsi="Arial"/>
                <w:b/>
                <w:bCs/>
                <w:color w:val="FFFFFF"/>
                <w:sz w:val="19"/>
                <w:szCs w:val="19"/>
              </w:rPr>
              <w:t xml:space="preserve">Resultado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CP-CAR-01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test/Carrito.spec.jsx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estado vacío y botón para explorar productos.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CP-CAR-02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test/Carrito.spec.jsx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Carrito.jsx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Permite incrementar, decrementar y eliminar ítems del carrito.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CP-CHK-01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test/Checkout.spec.jsx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Muestra advertencia cuando el carrito está vacío e impide compra.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CP-CHK-02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test/Checkout.spec.jsx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Checkout.jsx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Valida campos obligatorios: email, teléfono, dirección, comuna.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CP-EXIT-01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test/CompraExitosa.spec.jsx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CompraExitosa.jsx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Muestra confirmación de orden con ID PED- y datos de despacho.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CP-FALL-01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test/CompraFallida.spec.jsx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CompraFallida.jsx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Muestra mensaje de error y enlace para reintentar desde carrito.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bl>
    <w:p>
      <w:pPr>
        <w:pStyle w:val="Heading2"/>
        <w:spacing w:after="140" w:before="260"/>
      </w:pPr>
      <w:r>
        <w:rPr>
          <w:rFonts w:ascii="Arial" w:cs="Arial" w:eastAsia="Arial" w:hAnsi="Arial"/>
          <w:b/>
          <w:bCs/>
          <w:color w:val="2B6CB0"/>
          <w:sz w:val="24"/>
          <w:szCs w:val="24"/>
        </w:rPr>
        <w:t xml:space="preserve">7.3 Autenticación, Administración y Rutas Protegidas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1986"/>
        <w:gridCol w:w="2708"/>
        <w:gridCol w:w="903"/>
      </w:tblGrid>
      <w:tr>
        <w:tc>
          <w:tcPr>
            <w:tcW w:type="pct" w:w="600"/>
            <w:shd w:fill="2B6CB0" w:val="clear"/>
          </w:tcPr>
          <w:p>
            <w:pPr>
              <w:jc w:val="left"/>
            </w:pPr>
            <w:r>
              <w:rPr>
                <w:rFonts w:ascii="Arial" w:cs="Arial" w:eastAsia="Arial" w:hAnsi="Arial"/>
                <w:b/>
                <w:bCs/>
                <w:color w:val="FFFFFF"/>
                <w:sz w:val="19"/>
                <w:szCs w:val="19"/>
              </w:rPr>
              <w:t xml:space="preserve">ID Caso</w:t>
            </w:r>
          </w:p>
        </w:tc>
        <w:tc>
          <w:tcPr>
            <w:tcW w:type="pct" w:w="1300"/>
            <w:shd w:fill="2B6CB0" w:val="clear"/>
          </w:tcPr>
          <w:p>
            <w:pPr>
              <w:jc w:val="left"/>
            </w:pPr>
            <w:r>
              <w:rPr>
                <w:rFonts w:ascii="Arial" w:cs="Arial" w:eastAsia="Arial" w:hAnsi="Arial"/>
                <w:b/>
                <w:bCs/>
                <w:color w:val="FFFFFF"/>
                <w:sz w:val="19"/>
                <w:szCs w:val="19"/>
              </w:rPr>
              <w:t xml:space="preserve">Archivo de Prueba</w:t>
            </w:r>
          </w:p>
        </w:tc>
        <w:tc>
          <w:tcPr>
            <w:tcW w:type="pct" w:w="1100"/>
            <w:shd w:fill="2B6CB0" w:val="clear"/>
          </w:tcPr>
          <w:p>
            <w:pPr>
              <w:jc w:val="left"/>
            </w:pPr>
            <w:r>
              <w:rPr>
                <w:rFonts w:ascii="Arial" w:cs="Arial" w:eastAsia="Arial" w:hAnsi="Arial"/>
                <w:b/>
                <w:bCs/>
                <w:color w:val="FFFFFF"/>
                <w:sz w:val="19"/>
                <w:szCs w:val="19"/>
              </w:rPr>
              <w:t xml:space="preserve">Componente / Servicio</w:t>
            </w:r>
          </w:p>
        </w:tc>
        <w:tc>
          <w:tcPr>
            <w:tcW w:type="pct" w:w="1500"/>
            <w:shd w:fill="2B6CB0" w:val="clear"/>
          </w:tcPr>
          <w:p>
            <w:pPr>
              <w:jc w:val="left"/>
            </w:pPr>
            <w:r>
              <w:rPr>
                <w:rFonts w:ascii="Arial" w:cs="Arial" w:eastAsia="Arial" w:hAnsi="Arial"/>
                <w:b/>
                <w:bCs/>
                <w:color w:val="FFFFFF"/>
                <w:sz w:val="19"/>
                <w:szCs w:val="19"/>
              </w:rPr>
              <w:t xml:space="preserve">Comportamiento Evaluado</w:t>
            </w:r>
          </w:p>
        </w:tc>
        <w:tc>
          <w:tcPr>
            <w:tcW w:type="pct" w:w="500"/>
            <w:shd w:fill="2B6CB0" w:val="clear"/>
          </w:tcPr>
          <w:p>
            <w:pPr>
              <w:jc w:val="left"/>
            </w:pPr>
            <w:r>
              <w:rPr>
                <w:rFonts w:ascii="Arial" w:cs="Arial" w:eastAsia="Arial" w:hAnsi="Arial"/>
                <w:b/>
                <w:bCs/>
                <w:color w:val="FFFFFF"/>
                <w:sz w:val="19"/>
                <w:szCs w:val="19"/>
              </w:rPr>
              <w:t xml:space="preserve">Resultado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CP-LOG-01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test/Login.spec.jsx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Inicia sesión para cliente y redirige a la página principal.</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CP-LOG-02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test/Login.spec.jsx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Login.jsx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Inicia sesión para administrador y redirige a /admin.</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CP-REG-01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test/Registro.spec.jsx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Registra nueva cuenta y redirige a login tras éxito.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CP-PROT-01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test/RutaProtegida.spec.jsx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RutaProtegida.jsx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Redirige a /login a usuarios sin sesión activa.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CP-PROT-02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test/RutaProtegida.spec.jsx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RutaProtegida.jsx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Redirige a / a usuarios con rol cliente que intenten /admin.</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CP-ADM-01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test/Admin.spec.jsx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panel de control y tabla de productos.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CP-ADM-02</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test/Admin.spec.jsx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Permite dar de alta un producto y actualizar inventario.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CP-ADM-03</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test/Admin.spec.jsx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Permite entrar en modo edición y guardar cambios.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CP-ADM-04</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test/Admin.spec.jsx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Admin.jsx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Permite eliminar producto tras confirmación de usuario.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bl>
    <w:p>
      <w:pPr>
        <w:pStyle w:val="Heading2"/>
        <w:spacing w:after="140" w:before="260"/>
      </w:pPr>
      <w:r>
        <w:rPr>
          <w:rFonts w:ascii="Arial" w:cs="Arial" w:eastAsia="Arial" w:hAnsi="Arial"/>
          <w:b/>
          <w:bCs/>
          <w:color w:val="2B6CB0"/>
          <w:sz w:val="24"/>
          <w:szCs w:val="24"/>
        </w:rPr>
        <w:t xml:space="preserve">7.4 Vistas Institucionales y Atomic Design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2347"/>
        <w:gridCol w:w="1986"/>
        <w:gridCol w:w="2708"/>
        <w:gridCol w:w="903"/>
      </w:tblGrid>
      <w:tr>
        <w:tc>
          <w:tcPr>
            <w:tcW w:type="pct" w:w="600"/>
            <w:shd w:fill="2B6CB0" w:val="clear"/>
          </w:tcPr>
          <w:p>
            <w:pPr>
              <w:jc w:val="left"/>
            </w:pPr>
            <w:r>
              <w:rPr>
                <w:rFonts w:ascii="Arial" w:cs="Arial" w:eastAsia="Arial" w:hAnsi="Arial"/>
                <w:b/>
                <w:bCs/>
                <w:color w:val="FFFFFF"/>
                <w:sz w:val="19"/>
                <w:szCs w:val="19"/>
              </w:rPr>
              <w:t xml:space="preserve">ID Caso</w:t>
            </w:r>
          </w:p>
        </w:tc>
        <w:tc>
          <w:tcPr>
            <w:tcW w:type="pct" w:w="1300"/>
            <w:shd w:fill="2B6CB0" w:val="clear"/>
          </w:tcPr>
          <w:p>
            <w:pPr>
              <w:jc w:val="left"/>
            </w:pPr>
            <w:r>
              <w:rPr>
                <w:rFonts w:ascii="Arial" w:cs="Arial" w:eastAsia="Arial" w:hAnsi="Arial"/>
                <w:b/>
                <w:bCs/>
                <w:color w:val="FFFFFF"/>
                <w:sz w:val="19"/>
                <w:szCs w:val="19"/>
              </w:rPr>
              <w:t xml:space="preserve">Archivo de Prueba</w:t>
            </w:r>
          </w:p>
        </w:tc>
        <w:tc>
          <w:tcPr>
            <w:tcW w:type="pct" w:w="1100"/>
            <w:shd w:fill="2B6CB0" w:val="clear"/>
          </w:tcPr>
          <w:p>
            <w:pPr>
              <w:jc w:val="left"/>
            </w:pPr>
            <w:r>
              <w:rPr>
                <w:rFonts w:ascii="Arial" w:cs="Arial" w:eastAsia="Arial" w:hAnsi="Arial"/>
                <w:b/>
                <w:bCs/>
                <w:color w:val="FFFFFF"/>
                <w:sz w:val="19"/>
                <w:szCs w:val="19"/>
              </w:rPr>
              <w:t xml:space="preserve">Componente / Servicio</w:t>
            </w:r>
          </w:p>
        </w:tc>
        <w:tc>
          <w:tcPr>
            <w:tcW w:type="pct" w:w="1500"/>
            <w:shd w:fill="2B6CB0" w:val="clear"/>
          </w:tcPr>
          <w:p>
            <w:pPr>
              <w:jc w:val="left"/>
            </w:pPr>
            <w:r>
              <w:rPr>
                <w:rFonts w:ascii="Arial" w:cs="Arial" w:eastAsia="Arial" w:hAnsi="Arial"/>
                <w:b/>
                <w:bCs/>
                <w:color w:val="FFFFFF"/>
                <w:sz w:val="19"/>
                <w:szCs w:val="19"/>
              </w:rPr>
              <w:t xml:space="preserve">Comportamiento Evaluado</w:t>
            </w:r>
          </w:p>
        </w:tc>
        <w:tc>
          <w:tcPr>
            <w:tcW w:type="pct" w:w="500"/>
            <w:shd w:fill="2B6CB0" w:val="clear"/>
          </w:tcPr>
          <w:p>
            <w:pPr>
              <w:jc w:val="left"/>
            </w:pPr>
            <w:r>
              <w:rPr>
                <w:rFonts w:ascii="Arial" w:cs="Arial" w:eastAsia="Arial" w:hAnsi="Arial"/>
                <w:b/>
                <w:bCs/>
                <w:color w:val="FFFFFF"/>
                <w:sz w:val="19"/>
                <w:szCs w:val="19"/>
              </w:rPr>
              <w:t xml:space="preserve">Resultado</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CP-HOM-01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test/Home.spec.jsx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Home.jsx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banner héroe, productos destacados y enlaces.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CP-NOS-01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test/Nosotros.spec.jsx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Nosotros.jsx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historia, valores y fotografías de cocina.</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CP-BLG-01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test/Blog.spec.jsx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Blog.jsx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Renderiza lista de artículos y categorías de blog.</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CP-CON-01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test/Contacto.spec.jsx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Contacto.jsx</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Valida y simula el envío del formulario de contacto.</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r>
        <w:tc>
          <w:tcPr>
            <w:tcW w:type="pct" w:w="6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CP-ATM-01</w:t>
            </w:r>
          </w:p>
        </w:tc>
        <w:tc>
          <w:tcPr>
            <w:tcW w:type="pct" w:w="13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test/atomicComponents.spec.jsx</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Alert, Badge, Button, Input</w:t>
            </w:r>
          </w:p>
        </w:tc>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Verifica props, clases y comportamiento de átomos.</w:t>
            </w:r>
          </w:p>
        </w:tc>
        <w:tc>
          <w:tcPr>
            <w:tcW w:type="pct" w:w="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PASS</w:t>
            </w:r>
          </w:p>
        </w:tc>
      </w:tr>
    </w:tbl>
    <w:p>
      <w:pPr>
        <w:pStyle w:val="Heading1"/>
        <w:spacing w:after="180" w:before="360"/>
      </w:pPr>
      <w:r>
        <w:rPr>
          <w:rFonts w:ascii="Arial" w:cs="Arial" w:eastAsia="Arial" w:hAnsi="Arial"/>
          <w:b/>
          <w:bCs/>
          <w:color w:val="1A365D"/>
          <w:sz w:val="30"/>
          <w:szCs w:val="30"/>
        </w:rPr>
        <w:t xml:space="preserve">8. Uso de Mocks y Estrategia de Aislamiento</w:t>
      </w:r>
    </w:p>
    <w:p>
      <w:pPr>
        <w:spacing w:after="140" w:line="276"/>
        <w:jc w:val="left"/>
      </w:pPr>
      <w:r>
        <w:rPr>
          <w:rFonts w:ascii="Arial" w:cs="Arial" w:eastAsia="Arial" w:hAnsi="Arial"/>
          <w:b w:val="false"/>
          <w:bCs w:val="false"/>
          <w:i w:val="false"/>
          <w:iCs w:val="false"/>
          <w:color w:val="2D3748"/>
          <w:sz w:val="21"/>
          <w:szCs w:val="21"/>
        </w:rPr>
        <w:t xml:space="preserve">Para asegurar que las pruebas sean deterministas, independientes y reproducibles, la suite aplica un riguroso protocolo de aislamiento:</w:t>
      </w:r>
    </w:p>
    <w:p>
      <w:pPr>
        <w:spacing w:after="140" w:line="276"/>
        <w:jc w:val="left"/>
      </w:pPr>
      <w:r>
        <w:rPr>
          <w:rFonts w:ascii="Arial" w:cs="Arial" w:eastAsia="Arial" w:hAnsi="Arial"/>
          <w:b w:val="false"/>
          <w:bCs w:val="false"/>
          <w:i w:val="false"/>
          <w:iCs w:val="false"/>
          <w:color w:val="2D3748"/>
          <w:sz w:val="21"/>
          <w:szCs w:val="21"/>
        </w:rPr>
        <w:t xml:space="preserve">1. Limpieza de LocalStorage: En cada archivo de prueba que interactúa con la persistencia, se invoca beforeEach(() =&gt; localStorage.clear()) para garantizar que ningún dato residual de una prueba afecte a la siguiente.
2. Limpieza del DOM Virtual: En test/setup.js se ejecuta afterEach(() =&gt; cleanup()), desmontando todos los árboles de componentes creados por React Testing Library y liberando memoria.
3. Mocks de APIs del Navegador: Se implementan mocks controlados para window.confirm (simulando confirmación o cancelación del usuario en la eliminación de productos), window.scrollTo (evitando errores por funciones no implementadas en jsdom) y console.error.
4. Restauración de Espías: Mediante vi.restoreAllMocks() se restablece el comportamiento original de funciones espiadas tras cada test suite.</w:t>
      </w:r>
    </w:p>
    <w:p>
      <w:pPr>
        <w:pStyle w:val="Heading1"/>
        <w:spacing w:after="180" w:before="360"/>
      </w:pPr>
      <w:r>
        <w:rPr>
          <w:rFonts w:ascii="Arial" w:cs="Arial" w:eastAsia="Arial" w:hAnsi="Arial"/>
          <w:b/>
          <w:bCs/>
          <w:color w:val="1A365D"/>
          <w:sz w:val="30"/>
          <w:szCs w:val="30"/>
        </w:rPr>
        <w:t xml:space="preserve">9. Resultados de Ejecución Oficial</w:t>
      </w:r>
    </w:p>
    <w:p>
      <w:pPr>
        <w:spacing w:after="140" w:line="276"/>
        <w:jc w:val="left"/>
      </w:pPr>
      <w:r>
        <w:rPr>
          <w:rFonts w:ascii="Arial" w:cs="Arial" w:eastAsia="Arial" w:hAnsi="Arial"/>
          <w:b w:val="false"/>
          <w:bCs w:val="false"/>
          <w:i w:val="false"/>
          <w:iCs w:val="false"/>
          <w:color w:val="2D3748"/>
          <w:sz w:val="21"/>
          <w:szCs w:val="21"/>
        </w:rPr>
        <w:t xml:space="preserve">La ejecución oficial y auditada de la suite de pruebas arrojó los siguientes resultados globales: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c>
          <w:tcPr>
            <w:tcW w:type="pct" w:w="2000"/>
            <w:shd w:fill="2B6CB0" w:val="clear"/>
          </w:tcPr>
          <w:p>
            <w:pPr>
              <w:jc w:val="left"/>
            </w:pPr>
            <w:r>
              <w:rPr>
                <w:rFonts w:ascii="Arial" w:cs="Arial" w:eastAsia="Arial" w:hAnsi="Arial"/>
                <w:b/>
                <w:bCs/>
                <w:color w:val="FFFFFF"/>
                <w:sz w:val="19"/>
                <w:szCs w:val="19"/>
              </w:rPr>
              <w:t xml:space="preserve">Parámetro de Ejecución</w:t>
            </w:r>
          </w:p>
        </w:tc>
        <w:tc>
          <w:tcPr>
            <w:tcW w:type="pct" w:w="3000"/>
            <w:shd w:fill="2B6CB0" w:val="clear"/>
          </w:tcPr>
          <w:p>
            <w:pPr>
              <w:jc w:val="left"/>
            </w:pPr>
            <w:r>
              <w:rPr>
                <w:rFonts w:ascii="Arial" w:cs="Arial" w:eastAsia="Arial" w:hAnsi="Arial"/>
                <w:b/>
                <w:bCs/>
                <w:color w:val="FFFFFF"/>
                <w:sz w:val="19"/>
                <w:szCs w:val="19"/>
              </w:rPr>
              <w:t xml:space="preserve">Valor Auditado</w:t>
            </w:r>
          </w:p>
        </w:tc>
      </w:tr>
      <w:tr>
        <w:tc>
          <w:tcPr>
            <w:tcW w:type="pct" w:w="2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Fecha y Hora de Ejecución:</w:t>
            </w:r>
          </w:p>
        </w:tc>
        <w:tc>
          <w:tcPr>
            <w:tcW w:type="pct" w:w="3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17 de Octubre de 2026, 16:38:36 (GMT-3)</w:t>
            </w:r>
          </w:p>
        </w:tc>
      </w:tr>
      <w:tr>
        <w:tc>
          <w:tcPr>
            <w:tcW w:type="pct" w:w="2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Total de Archivos de Prueba:</w:t>
            </w:r>
          </w:p>
        </w:tc>
        <w:tc>
          <w:tcPr>
            <w:tcW w:type="pct" w:w="3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25 evaluados / 25 aprobados (100%)</w:t>
            </w:r>
          </w:p>
        </w:tc>
      </w:tr>
      <w:tr>
        <w:tc>
          <w:tcPr>
            <w:tcW w:type="pct" w:w="2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Total de Pruebas Unitarias:</w:t>
            </w:r>
          </w:p>
        </w:tc>
        <w:tc>
          <w:tcPr>
            <w:tcW w:type="pct" w:w="3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171 ejecutadas / 171 aprobadas (0 fallidas, 0 omitidas)</w:t>
            </w:r>
          </w:p>
        </w:tc>
      </w:tr>
      <w:tr>
        <w:tc>
          <w:tcPr>
            <w:tcW w:type="pct" w:w="2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Duración Total:</w:t>
            </w:r>
          </w:p>
        </w:tc>
        <w:tc>
          <w:tcPr>
            <w:tcW w:type="pct" w:w="3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24.86 segundos</w:t>
            </w:r>
          </w:p>
        </w:tc>
      </w:tr>
      <w:tr>
        <w:tc>
          <w:tcPr>
            <w:tcW w:type="pct" w:w="2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Tasa de Éxito:</w:t>
            </w:r>
          </w:p>
        </w:tc>
        <w:tc>
          <w:tcPr>
            <w:tcW w:type="pct" w:w="30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100.00%</w:t>
            </w:r>
          </w:p>
        </w:tc>
      </w:tr>
    </w:tbl>
    <w:p>
      <w:pPr>
        <w:pStyle w:val="Heading1"/>
        <w:spacing w:after="180" w:before="360"/>
      </w:pPr>
      <w:r>
        <w:rPr>
          <w:rFonts w:ascii="Arial" w:cs="Arial" w:eastAsia="Arial" w:hAnsi="Arial"/>
          <w:b/>
          <w:bCs/>
          <w:color w:val="1A365D"/>
          <w:sz w:val="30"/>
          <w:szCs w:val="30"/>
        </w:rPr>
        <w:t xml:space="preserve">10. Análisis de Cobertura de Código</w:t>
      </w:r>
    </w:p>
    <w:p>
      <w:pPr>
        <w:pStyle w:val="Heading2"/>
        <w:spacing w:after="140" w:before="260"/>
      </w:pPr>
      <w:r>
        <w:rPr>
          <w:rFonts w:ascii="Arial" w:cs="Arial" w:eastAsia="Arial" w:hAnsi="Arial"/>
          <w:b/>
          <w:bCs/>
          <w:color w:val="2B6CB0"/>
          <w:sz w:val="24"/>
          <w:szCs w:val="24"/>
        </w:rPr>
        <w:t xml:space="preserve">10.1 Métricas Globales Obtenidas</w:t>
      </w:r>
    </w:p>
    <w:p>
      <w:pPr>
        <w:spacing w:after="140" w:line="276"/>
        <w:jc w:val="left"/>
      </w:pPr>
      <w:r>
        <w:rPr>
          <w:rFonts w:ascii="Arial" w:cs="Arial" w:eastAsia="Arial" w:hAnsi="Arial"/>
          <w:b w:val="false"/>
          <w:bCs w:val="false"/>
          <w:i w:val="false"/>
          <w:iCs w:val="false"/>
          <w:color w:val="2D3748"/>
          <w:sz w:val="21"/>
          <w:szCs w:val="21"/>
        </w:rPr>
        <w:t xml:space="preserve">A través del proveedor @vitest/coverage-v8, se instrumentó todo el código fuente ubicado en src/. A continuación se comparan los resultados reales con el umbral mínimo institucional del 80%: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1986"/>
        <w:gridCol w:w="2257"/>
        <w:gridCol w:w="2257"/>
      </w:tblGrid>
      <w:tr>
        <w:tc>
          <w:tcPr>
            <w:tcW w:type="pct" w:w="1400"/>
            <w:shd w:fill="2B6CB0" w:val="clear"/>
          </w:tcPr>
          <w:p>
            <w:pPr>
              <w:jc w:val="left"/>
            </w:pPr>
            <w:r>
              <w:rPr>
                <w:rFonts w:ascii="Arial" w:cs="Arial" w:eastAsia="Arial" w:hAnsi="Arial"/>
                <w:b/>
                <w:bCs/>
                <w:color w:val="FFFFFF"/>
                <w:sz w:val="19"/>
                <w:szCs w:val="19"/>
              </w:rPr>
              <w:t xml:space="preserve">Métrica de Cobertura</w:t>
            </w:r>
          </w:p>
        </w:tc>
        <w:tc>
          <w:tcPr>
            <w:tcW w:type="pct" w:w="1100"/>
            <w:shd w:fill="2B6CB0" w:val="clear"/>
          </w:tcPr>
          <w:p>
            <w:pPr>
              <w:jc w:val="left"/>
            </w:pPr>
            <w:r>
              <w:rPr>
                <w:rFonts w:ascii="Arial" w:cs="Arial" w:eastAsia="Arial" w:hAnsi="Arial"/>
                <w:b/>
                <w:bCs/>
                <w:color w:val="FFFFFF"/>
                <w:sz w:val="19"/>
                <w:szCs w:val="19"/>
              </w:rPr>
              <w:t xml:space="preserve">Resultado Real</w:t>
            </w:r>
          </w:p>
        </w:tc>
        <w:tc>
          <w:tcPr>
            <w:tcW w:type="pct" w:w="1250"/>
            <w:shd w:fill="2B6CB0" w:val="clear"/>
          </w:tcPr>
          <w:p>
            <w:pPr>
              <w:jc w:val="left"/>
            </w:pPr>
            <w:r>
              <w:rPr>
                <w:rFonts w:ascii="Arial" w:cs="Arial" w:eastAsia="Arial" w:hAnsi="Arial"/>
                <w:b/>
                <w:bCs/>
                <w:color w:val="FFFFFF"/>
                <w:sz w:val="19"/>
                <w:szCs w:val="19"/>
              </w:rPr>
              <w:t xml:space="preserve">Umbral Mínimo (Rúbrica)</w:t>
            </w:r>
          </w:p>
        </w:tc>
        <w:tc>
          <w:tcPr>
            <w:tcW w:type="pct" w:w="1250"/>
            <w:shd w:fill="2B6CB0" w:val="clear"/>
          </w:tcPr>
          <w:p>
            <w:pPr>
              <w:jc w:val="left"/>
            </w:pPr>
            <w:r>
              <w:rPr>
                <w:rFonts w:ascii="Arial" w:cs="Arial" w:eastAsia="Arial" w:hAnsi="Arial"/>
                <w:b/>
                <w:bCs/>
                <w:color w:val="FFFFFF"/>
                <w:sz w:val="19"/>
                <w:szCs w:val="19"/>
              </w:rPr>
              <w:t xml:space="preserve">Estado y Desviación</w:t>
            </w:r>
          </w:p>
        </w:tc>
      </w:tr>
      <w:tr>
        <w:tc>
          <w:tcPr>
            <w:tcW w:type="pct" w:w="14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Líneas (% Lines)</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89.54%</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Aprobado (+9.54%)</w:t>
            </w:r>
          </w:p>
        </w:tc>
      </w:tr>
      <w:tr>
        <w:tc>
          <w:tcPr>
            <w:tcW w:type="pct" w:w="14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Ramas (% Branch)</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90.35%</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Aprobado (+10.35%)</w:t>
            </w:r>
          </w:p>
        </w:tc>
      </w:tr>
      <w:tr>
        <w:tc>
          <w:tcPr>
            <w:tcW w:type="pct" w:w="14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Funciones (% Funcs)</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89.23%</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Aprobado (+9.23%)</w:t>
            </w:r>
          </w:p>
        </w:tc>
      </w:tr>
      <w:tr>
        <w:tc>
          <w:tcPr>
            <w:tcW w:type="pct" w:w="14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Sentencias (% Stmts)</w:t>
            </w:r>
          </w:p>
        </w:tc>
        <w:tc>
          <w:tcPr>
            <w:tcW w:type="pct" w:w="11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88.95%</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80.00%</w:t>
            </w:r>
          </w:p>
        </w:tc>
        <w:tc>
          <w:tcPr>
            <w:tcW w:type="pct" w:w="125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Aprobado (+8.95%)</w:t>
            </w:r>
          </w:p>
        </w:tc>
      </w:tr>
    </w:tbl>
    <w:p>
      <w:pPr>
        <w:pStyle w:val="Heading2"/>
        <w:spacing w:after="140" w:before="260"/>
      </w:pPr>
      <w:r>
        <w:rPr>
          <w:rFonts w:ascii="Arial" w:cs="Arial" w:eastAsia="Arial" w:hAnsi="Arial"/>
          <w:b/>
          <w:bCs/>
          <w:color w:val="2B6CB0"/>
          <w:sz w:val="24"/>
          <w:szCs w:val="24"/>
        </w:rPr>
        <w:t xml:space="preserve">10.2 Desglose de Cobertura por Capas y Módulos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534"/>
        <w:gridCol w:w="1534"/>
        <w:gridCol w:w="1625"/>
        <w:gridCol w:w="1625"/>
      </w:tblGrid>
      <w:tr>
        <w:tc>
          <w:tcPr>
            <w:tcW w:type="pct" w:w="1500"/>
            <w:shd w:fill="2B6CB0" w:val="clear"/>
          </w:tcPr>
          <w:p>
            <w:pPr>
              <w:jc w:val="left"/>
            </w:pPr>
            <w:r>
              <w:rPr>
                <w:rFonts w:ascii="Arial" w:cs="Arial" w:eastAsia="Arial" w:hAnsi="Arial"/>
                <w:b/>
                <w:bCs/>
                <w:color w:val="FFFFFF"/>
                <w:sz w:val="19"/>
                <w:szCs w:val="19"/>
              </w:rPr>
              <w:t xml:space="preserve">Capa / Módulo</w:t>
            </w:r>
          </w:p>
        </w:tc>
        <w:tc>
          <w:tcPr>
            <w:tcW w:type="pct" w:w="850"/>
            <w:shd w:fill="2B6CB0" w:val="clear"/>
          </w:tcPr>
          <w:p>
            <w:pPr>
              <w:jc w:val="left"/>
            </w:pPr>
            <w:r>
              <w:rPr>
                <w:rFonts w:ascii="Arial" w:cs="Arial" w:eastAsia="Arial" w:hAnsi="Arial"/>
                <w:b/>
                <w:bCs/>
                <w:color w:val="FFFFFF"/>
                <w:sz w:val="19"/>
                <w:szCs w:val="19"/>
              </w:rPr>
              <w:t xml:space="preserve">% Líneas</w:t>
            </w:r>
          </w:p>
        </w:tc>
        <w:tc>
          <w:tcPr>
            <w:tcW w:type="pct" w:w="850"/>
            <w:shd w:fill="2B6CB0" w:val="clear"/>
          </w:tcPr>
          <w:p>
            <w:pPr>
              <w:jc w:val="left"/>
            </w:pPr>
            <w:r>
              <w:rPr>
                <w:rFonts w:ascii="Arial" w:cs="Arial" w:eastAsia="Arial" w:hAnsi="Arial"/>
                <w:b/>
                <w:bCs/>
                <w:color w:val="FFFFFF"/>
                <w:sz w:val="19"/>
                <w:szCs w:val="19"/>
              </w:rPr>
              <w:t xml:space="preserve">% Ramas</w:t>
            </w:r>
          </w:p>
        </w:tc>
        <w:tc>
          <w:tcPr>
            <w:tcW w:type="pct" w:w="900"/>
            <w:shd w:fill="2B6CB0" w:val="clear"/>
          </w:tcPr>
          <w:p>
            <w:pPr>
              <w:jc w:val="left"/>
            </w:pPr>
            <w:r>
              <w:rPr>
                <w:rFonts w:ascii="Arial" w:cs="Arial" w:eastAsia="Arial" w:hAnsi="Arial"/>
                <w:b/>
                <w:bCs/>
                <w:color w:val="FFFFFF"/>
                <w:sz w:val="19"/>
                <w:szCs w:val="19"/>
              </w:rPr>
              <w:t xml:space="preserve">% Funciones</w:t>
            </w:r>
          </w:p>
        </w:tc>
        <w:tc>
          <w:tcPr>
            <w:tcW w:type="pct" w:w="900"/>
            <w:shd w:fill="2B6CB0" w:val="clear"/>
          </w:tcPr>
          <w:p>
            <w:pPr>
              <w:jc w:val="left"/>
            </w:pPr>
            <w:r>
              <w:rPr>
                <w:rFonts w:ascii="Arial" w:cs="Arial" w:eastAsia="Arial" w:hAnsi="Arial"/>
                <w:b/>
                <w:bCs/>
                <w:color w:val="FFFFFF"/>
                <w:sz w:val="19"/>
                <w:szCs w:val="19"/>
              </w:rPr>
              <w:t xml:space="preserve">% Sentencias</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 (App.jsx)</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src/components/atoms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src/components/molecules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91.11%</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src/components/organisms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88.57%</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87.50%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88.57%</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src/components/templates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100.00%</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src/pages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87.86%</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88.20%</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85.45%</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87.78%</w:t>
            </w:r>
          </w:p>
        </w:tc>
      </w:tr>
      <w:tr>
        <w:tc>
          <w:tcPr>
            <w:tcW w:type="pct" w:w="1500"/>
            <w:tcBorders>
              <w:top w:val="single" w:color="CBD5E0" w:sz="1"/>
              <w:left w:val="single" w:color="CBD5E0" w:sz="1"/>
              <w:bottom w:val="single" w:color="CBD5E0" w:sz="1"/>
              <w:right w:val="single" w:color="CBD5E0" w:sz="1"/>
            </w:tcBorders>
          </w:tcPr>
          <w:p>
            <w:pPr>
              <w:jc w:val="left"/>
            </w:pPr>
            <w:r>
              <w:rPr>
                <w:rFonts w:ascii="Arial" w:cs="Arial" w:eastAsia="Arial" w:hAnsi="Arial"/>
                <w:b/>
                <w:bCs/>
                <w:color w:val="2D3748"/>
                <w:sz w:val="19"/>
                <w:szCs w:val="19"/>
              </w:rPr>
              <w:t xml:space="preserve">src/services</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91.02%</w:t>
            </w:r>
          </w:p>
        </w:tc>
        <w:tc>
          <w:tcPr>
            <w:tcW w:type="pct" w:w="85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87.67%</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94.73%</w:t>
            </w:r>
          </w:p>
        </w:tc>
        <w:tc>
          <w:tcPr>
            <w:tcW w:type="pct" w:w="9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2D3748"/>
                <w:sz w:val="19"/>
                <w:szCs w:val="19"/>
              </w:rPr>
              <w:t xml:space="preserve">89.53%</w:t>
            </w:r>
          </w:p>
        </w:tc>
      </w:tr>
    </w:tbl>
    <w:p>
      <w:pPr>
        <w:pStyle w:val="Heading2"/>
        <w:spacing w:after="140" w:before="260"/>
      </w:pPr>
      <w:r>
        <w:rPr>
          <w:rFonts w:ascii="Arial" w:cs="Arial" w:eastAsia="Arial" w:hAnsi="Arial"/>
          <w:b/>
          <w:bCs/>
          <w:color w:val="2B6CB0"/>
          <w:sz w:val="24"/>
          <w:szCs w:val="24"/>
        </w:rPr>
        <w:t xml:space="preserve">10.3 Análisis de Archivos con Mayor y Menor Cobertura</w:t>
      </w:r>
    </w:p>
    <w:p>
      <w:pPr>
        <w:spacing w:after="140" w:line="276"/>
        <w:jc w:val="left"/>
      </w:pPr>
      <w:r>
        <w:rPr>
          <w:rFonts w:ascii="Arial" w:cs="Arial" w:eastAsia="Arial" w:hAnsi="Arial"/>
          <w:b w:val="false"/>
          <w:bCs w:val="false"/>
          <w:i w:val="false"/>
          <w:iCs w:val="false"/>
          <w:color w:val="2D3748"/>
          <w:sz w:val="21"/>
          <w:szCs w:val="21"/>
        </w:rPr>
        <w:t xml:space="preserve">• Archivos con Cobertura Plena (100% Líneas): App.jsx, Alert.jsx, Badge.jsx, Button.jsx, Input.jsx, FormField.jsx, QuantityControl.jsx, SearchBar.jsx, CartItem.jsx, CartSummary.jsx, Footer.jsx, Navbar.jsx, RutaProtegida.jsx, AuthLayout.jsx, MainLayout.jsx, PageHeader.jsx, Login.jsx, Registro.jsx, CompraFallida.jsx, CompraExitosa.jsx (100% líneas), blogService.js y carritoService.js (100% líneas).
• Archivos con Menor Cobertura: Home.jsx (33.33% líneas), Nosotros.jsx (33.33% líneas), Blog.jsx (66.66% líneas), DetalleBlog.jsx (71.42% líneas), Checkout.jsx (79.48% líneas) y DetalleProducto.jsx (81.25% líneas).
Justificación Técnica: En Home y Nosotros, las pruebas validan títulos, secciones clave y presencia visual, pero no disparan deliberadamente fallbacks de imágenes secundarias. En Checkout, las líneas no cubiertas corresponden a ramas secundarias de validación en caso de manipulación extrema de campos no contemplados en el flujo estándar.</w:t>
      </w:r>
    </w:p>
    <w:p>
      <w:pPr>
        <w:pStyle w:val="Heading1"/>
        <w:spacing w:after="180" w:before="360"/>
      </w:pPr>
      <w:r>
        <w:rPr>
          <w:rFonts w:ascii="Arial" w:cs="Arial" w:eastAsia="Arial" w:hAnsi="Arial"/>
          <w:b/>
          <w:bCs/>
          <w:color w:val="1A365D"/>
          <w:sz w:val="30"/>
          <w:szCs w:val="30"/>
        </w:rPr>
        <w:t xml:space="preserve">11. Hallazgos y Oportunidades de Mejora</w:t>
      </w:r>
    </w:p>
    <w:p>
      <w:pPr>
        <w:pStyle w:val="Heading2"/>
        <w:spacing w:after="140" w:before="260"/>
      </w:pPr>
      <w:r>
        <w:rPr>
          <w:rFonts w:ascii="Arial" w:cs="Arial" w:eastAsia="Arial" w:hAnsi="Arial"/>
          <w:b/>
          <w:bCs/>
          <w:color w:val="2B6CB0"/>
          <w:sz w:val="24"/>
          <w:szCs w:val="24"/>
        </w:rPr>
        <w:t xml:space="preserve">11.1 Hallazgos Detectados Durante la Auditoría</w:t>
      </w:r>
    </w:p>
    <w:p>
      <w:pPr>
        <w:spacing w:after="140" w:line="276"/>
        <w:jc w:val="left"/>
      </w:pPr>
      <w:r>
        <w:rPr>
          <w:rFonts w:ascii="Arial" w:cs="Arial" w:eastAsia="Arial" w:hAnsi="Arial"/>
          <w:b w:val="false"/>
          <w:bCs w:val="false"/>
          <w:i w:val="false"/>
          <w:iCs w:val="false"/>
          <w:color w:val="2D3748"/>
          <w:sz w:val="21"/>
          <w:szCs w:val="21"/>
        </w:rPr>
        <w:t xml:space="preserve">1. Excepciones de Almacenamiento Saturado: En los servicios, los bloques catch en caso de que localStorage esté lleno o deshabilitado no son forzados en las pruebas unitarias comunes, lo que deja algunas líneas de log uncovered.
2. Migración Legacy de Catálogo: En productosService.js, las líneas 317-337 (fusión con versiones anteriores al catálogo 3) no se ejecutan cuando el entorno de test inicia directamente en versión 3.
3. Advertencias de Consola por React Router: Se detectaron advertencias informativas por rutas simuladas en pruebas individuales sin impacto en el funcionamiento.</w:t>
      </w:r>
    </w:p>
    <w:p>
      <w:pPr>
        <w:pStyle w:val="Heading2"/>
        <w:spacing w:after="140" w:before="260"/>
      </w:pPr>
      <w:r>
        <w:rPr>
          <w:rFonts w:ascii="Arial" w:cs="Arial" w:eastAsia="Arial" w:hAnsi="Arial"/>
          <w:b/>
          <w:bCs/>
          <w:color w:val="2B6CB0"/>
          <w:sz w:val="24"/>
          <w:szCs w:val="24"/>
        </w:rPr>
        <w:t xml:space="preserve">11.2 Recomendaciones Técnicas para la Evaluación Parcial 3</w:t>
      </w:r>
    </w:p>
    <w:p>
      <w:pPr>
        <w:spacing w:after="140" w:line="276"/>
        <w:jc w:val="left"/>
      </w:pPr>
      <w:r>
        <w:rPr>
          <w:rFonts w:ascii="Arial" w:cs="Arial" w:eastAsia="Arial" w:hAnsi="Arial"/>
          <w:b w:val="false"/>
          <w:bCs w:val="false"/>
          <w:i w:val="false"/>
          <w:iCs w:val="false"/>
          <w:color w:val="2D3748"/>
          <w:sz w:val="21"/>
          <w:szCs w:val="21"/>
        </w:rPr>
        <w:t xml:space="preserve">1. Inyectar pruebas específicas con mocks que simulen fallo forzado de localStorage.setItem (QuotaExceededError) para cubrir al 100% los bloques try/catch de los servicios.
2. Implementar pruebas de integración End-to-End (E2E) con Playwright o Cypress para validar flujos continuos (desde la elección en catálogo hasta la confirmación de checkout) en un navegador real.</w:t>
      </w:r>
    </w:p>
    <w:p>
      <w:pPr>
        <w:pStyle w:val="Heading1"/>
        <w:spacing w:after="180" w:before="360"/>
      </w:pPr>
      <w:r>
        <w:rPr>
          <w:rFonts w:ascii="Arial" w:cs="Arial" w:eastAsia="Arial" w:hAnsi="Arial"/>
          <w:b/>
          <w:bCs/>
          <w:color w:val="1A365D"/>
          <w:sz w:val="30"/>
          <w:szCs w:val="30"/>
        </w:rPr>
        <w:t xml:space="preserve">12. Conclusiones</w:t>
      </w:r>
    </w:p>
    <w:p>
      <w:pPr>
        <w:spacing w:after="140" w:line="276"/>
        <w:jc w:val="left"/>
      </w:pPr>
      <w:r>
        <w:rPr>
          <w:rFonts w:ascii="Arial" w:cs="Arial" w:eastAsia="Arial" w:hAnsi="Arial"/>
          <w:b w:val="false"/>
          <w:bCs w:val="false"/>
          <w:i w:val="false"/>
          <w:iCs w:val="false"/>
          <w:color w:val="2D3748"/>
          <w:sz w:val="21"/>
          <w:szCs w:val="21"/>
        </w:rPr>
        <w:t xml:space="preserve">La ejecución automatizada de pruebas unitarias sobre Pastelería Mil Sabores certifica un alto estándar de calidad, fiabilidad y estabilidad en su versión 2. Con un 100% de pruebas aprobadas (171 de 171) distribuidas en 25 suites de especificación y una cobertura de líneas del 89.54% (excediendo ampliamente la exigencia institucional del 80%), el sistema garantiza que los componentes visuales de Atomic Design, la navegación SPA, la gestión de inventario y la lógica de negocio operan de manera correcta y consistente.</w:t>
      </w:r>
    </w:p>
    <w:p>
      <w:pPr>
        <w:pStyle w:val="Heading1"/>
        <w:spacing w:after="180" w:before="360"/>
      </w:pPr>
      <w:r>
        <w:rPr>
          <w:rFonts w:ascii="Arial" w:cs="Arial" w:eastAsia="Arial" w:hAnsi="Arial"/>
          <w:b/>
          <w:bCs/>
          <w:color w:val="1A365D"/>
          <w:sz w:val="30"/>
          <w:szCs w:val="30"/>
        </w:rPr>
        <w:t xml:space="preserve">13. Anexos y Referencias</w:t>
      </w:r>
    </w:p>
    <w:p>
      <w:pPr>
        <w:spacing w:after="140" w:line="276"/>
        <w:jc w:val="left"/>
      </w:pPr>
      <w:r>
        <w:rPr>
          <w:rFonts w:ascii="Arial" w:cs="Arial" w:eastAsia="Arial" w:hAnsi="Arial"/>
          <w:b w:val="false"/>
          <w:bCs w:val="false"/>
          <w:i w:val="false"/>
          <w:iCs w:val="false"/>
          <w:color w:val="2D3748"/>
          <w:sz w:val="21"/>
          <w:szCs w:val="21"/>
        </w:rPr>
        <w:t xml:space="preserve">• Comando Oficial de Reproducción: npm.cmd run test:coverage
• Directorio de Archivos de Prueba: /test/*.spec.jsx (25 archivos)
• Archivo de Configuración de Setup: /test/setup.js
• Informe HTML Detallado Interactivo: /coverage/index.html (disponible localmente en la carpeta coverage/ para navegación archivo por archivo con resaltado de sintaxis de líneas cubiertas).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2026-10-17T19:48:28.573Z</dcterms:created>
  <dcterms:modified xsi:type="dcterms:W3CDTF">2026-10-17T19:48:28.573Z</dcterms:modified>
</cp:coreProperties>
</file>

<file path=docProps/custom.xml><?xml version="1.0" encoding="utf-8"?>
<Properties xmlns="http://schemas.openxmlformats.org/officeDocument/2006/custom-properties" xmlns:vt="http://schemas.openxmlformats.org/officeDocument/2006/docPropsVTypes"/>
</file>