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</w:p>
    <w:bookmarkStart w:id="63" w:name="X1b6a95745974131b639fc53999ee770752e9c8b"/>
    <w:p>
      <w:pPr>
        <w:pStyle w:val="Heading1"/>
      </w:pPr>
      <w:r>
        <w:t xml:space="preserve">Score ReLiability – Can we explain effect size heterogeneity using score reliability?</w:t>
      </w:r>
    </w:p>
    <w:p>
      <w:pPr>
        <w:pStyle w:val="FirstParagraph"/>
      </w:pPr>
      <w:r>
        <w:t xml:space="preserve">Large-scale collaborative replication efforts have sparked discussions</w:t>
      </w:r>
      <w:r>
        <w:t xml:space="preserve"> </w:t>
      </w:r>
      <w:r>
        <w:t xml:space="preserve">surrounding the replicability of psychological phenomena. However, for</w:t>
      </w:r>
      <w:r>
        <w:t xml:space="preserve"> </w:t>
      </w:r>
      <w:r>
        <w:t xml:space="preserve">attempts to estimate a phenomenon’s replicability or to predict whether</w:t>
      </w:r>
      <w:r>
        <w:t xml:space="preserve"> </w:t>
      </w:r>
      <w:r>
        <w:t xml:space="preserve">a future replication will replicate successfully, heterogeneity is a</w:t>
      </w:r>
      <w:r>
        <w:t xml:space="preserve"> </w:t>
      </w:r>
      <w:r>
        <w:t xml:space="preserve">crucial parameter that needs to be assessed. In the meta-analytic</w:t>
      </w:r>
      <w:r>
        <w:t xml:space="preserve"> </w:t>
      </w:r>
      <w:r>
        <w:t xml:space="preserve">context, heterogeneity describes the variation in effect sizes, free of</w:t>
      </w:r>
      <w:r>
        <w:t xml:space="preserve"> </w:t>
      </w:r>
      <w:r>
        <w:t xml:space="preserve">sampling error, if these are not stable or constant across replications.</w:t>
      </w:r>
      <w:r>
        <w:t xml:space="preserve"> </w:t>
      </w:r>
      <w:r>
        <w:t xml:space="preserve">Therefore, the presence of heterogeneity implies that some replications</w:t>
      </w:r>
      <w:r>
        <w:t xml:space="preserve"> </w:t>
      </w:r>
      <w:r>
        <w:t xml:space="preserve">of a single phenomenon may be successful, while others are not. If</w:t>
      </w:r>
      <w:r>
        <w:t xml:space="preserve"> </w:t>
      </w:r>
      <w:r>
        <w:t xml:space="preserve">heterogeneity grows, meaning the phenomenon’s effect size varies more</w:t>
      </w:r>
      <w:r>
        <w:t xml:space="preserve"> </w:t>
      </w:r>
      <w:r>
        <w:t xml:space="preserve">strongly for unexplained reasons, the probability of observing an effect</w:t>
      </w:r>
      <w:r>
        <w:t xml:space="preserve"> </w:t>
      </w:r>
      <w:r>
        <w:t xml:space="preserve">size around zero or even in the negative space grows larger as well. If</w:t>
      </w:r>
      <w:r>
        <w:t xml:space="preserve"> </w:t>
      </w:r>
      <w:r>
        <w:t xml:space="preserve">we know the mean size and heterogeneity of a phenomenon’s effect size,</w:t>
      </w:r>
      <w:r>
        <w:t xml:space="preserve"> </w:t>
      </w:r>
      <w:r>
        <w:t xml:space="preserve">we would theoretically be able to establish a baseline of expected</w:t>
      </w:r>
      <w:r>
        <w:t xml:space="preserve"> </w:t>
      </w:r>
      <w:r>
        <w:t xml:space="preserve">replication rate (reference).</w:t>
      </w:r>
    </w:p>
    <w:p>
      <w:pPr>
        <w:pStyle w:val="BodyText"/>
      </w:pPr>
      <w:r>
        <w:t xml:space="preserve">Similarly, it has been argued that heterogeneity in effect sizes is an</w:t>
      </w:r>
      <w:r>
        <w:t xml:space="preserve"> </w:t>
      </w:r>
      <w:r>
        <w:t xml:space="preserve">indicator of the theory’s</w:t>
      </w:r>
      <w:r>
        <w:t xml:space="preserve"> </w:t>
      </w:r>
      <w:r>
        <w:t xml:space="preserve">“</w:t>
      </w:r>
      <w:r>
        <w:t xml:space="preserve">completeness</w:t>
      </w:r>
      <w:r>
        <w:t xml:space="preserve">”</w:t>
      </w:r>
      <w:r>
        <w:t xml:space="preserve"> </w:t>
      </w:r>
      <w:r>
        <w:t xml:space="preserve">surrounding the phenomenon.</w:t>
      </w:r>
      <w:r>
        <w:t xml:space="preserve"> </w:t>
      </w:r>
      <w:r>
        <w:t xml:space="preserve">Linden and Hönekopp argue that</w:t>
      </w:r>
      <w:r>
        <w:t xml:space="preserve"> </w:t>
      </w:r>
      <w:r>
        <w:t xml:space="preserve">“</w:t>
      </w:r>
      <w:r>
        <w:t xml:space="preserve">low (as opposed to high) heterogeneity</w:t>
      </w:r>
      <w:r>
        <w:t xml:space="preserve"> </w:t>
      </w:r>
      <w:r>
        <w:t xml:space="preserve">reflects a more advanced understanding of the subject matter being</w:t>
      </w:r>
      <w:r>
        <w:t xml:space="preserve"> </w:t>
      </w:r>
      <w:r>
        <w:t xml:space="preserve">studied</w:t>
      </w:r>
      <w:r>
        <w:t xml:space="preserve">”</w:t>
      </w:r>
      <w:r>
        <w:t xml:space="preserve"> </w:t>
      </w:r>
      <w:r>
        <w:t xml:space="preserve">(2021, p.2). Similarly, Schuetze and von Hippel (2023) argue</w:t>
      </w:r>
      <w:r>
        <w:t xml:space="preserve"> </w:t>
      </w:r>
      <w:r>
        <w:t xml:space="preserve">that heterogeneity in effects is an indicator of a vague, poorly</w:t>
      </w:r>
      <w:r>
        <w:t xml:space="preserve"> </w:t>
      </w:r>
      <w:r>
        <w:t xml:space="preserve">specified theory.</w:t>
      </w:r>
    </w:p>
    <w:p>
      <w:pPr>
        <w:pStyle w:val="BodyText"/>
      </w:pPr>
      <w:r>
        <w:t xml:space="preserve">Re-analyses of multi-site direct replications have demonstrated that, if</w:t>
      </w:r>
      <w:r>
        <w:t xml:space="preserve"> </w:t>
      </w:r>
      <w:r>
        <w:t xml:space="preserve">a psychological effect size can be distinguished from zero,</w:t>
      </w:r>
      <w:r>
        <w:t xml:space="preserve"> </w:t>
      </w:r>
      <w:r>
        <w:t xml:space="preserve">heterogeneity is present across most phenomena (ref). Large-scale</w:t>
      </w:r>
      <w:r>
        <w:t xml:space="preserve"> </w:t>
      </w:r>
      <w:r>
        <w:t xml:space="preserve">attempts of direct replications, using identical protocols, such as the</w:t>
      </w:r>
      <w:r>
        <w:t xml:space="preserve"> </w:t>
      </w:r>
      <w:r>
        <w:t xml:space="preserve">Many Labs studies or Registered Replication Reports (references), for</w:t>
      </w:r>
      <w:r>
        <w:t xml:space="preserve"> </w:t>
      </w:r>
      <w:r>
        <w:t xml:space="preserve">the first time allow researchers to estimate heterogeneity undistorted</w:t>
      </w:r>
      <w:r>
        <w:t xml:space="preserve"> </w:t>
      </w:r>
      <w:r>
        <w:t xml:space="preserve">by differences in experimental designs. In re-analyses of these studies,</w:t>
      </w:r>
      <w:r>
        <w:t xml:space="preserve"> </w:t>
      </w:r>
      <w:r>
        <w:t xml:space="preserve">Olsson-Collentine et al. (2020) identify a positive correlation between</w:t>
      </w:r>
      <w:r>
        <w:t xml:space="preserve"> </w:t>
      </w:r>
      <w:r>
        <w:t xml:space="preserve">a phenomenon’s effect size and its heterogeneity. Similarly, van Erp et</w:t>
      </w:r>
      <w:r>
        <w:t xml:space="preserve"> </w:t>
      </w:r>
      <w:r>
        <w:t xml:space="preserve">al. (2017) or Stanley et al. (2018) estimate strong degrees of</w:t>
      </w:r>
      <w:r>
        <w:t xml:space="preserve"> </w:t>
      </w:r>
      <w:r>
        <w:t xml:space="preserve">heterogeneity across conceptual replications in Psychology. In a</w:t>
      </w:r>
      <w:r>
        <w:t xml:space="preserve"> </w:t>
      </w:r>
      <w:r>
        <w:t xml:space="preserve">separate re-analysis of large scale direct replications, Renkewitz et</w:t>
      </w:r>
      <w:r>
        <w:t xml:space="preserve"> </w:t>
      </w:r>
      <w:r>
        <w:t xml:space="preserve">al. (2025) identify substantial heterogeneity in almost all projects</w:t>
      </w:r>
      <w:r>
        <w:t xml:space="preserve"> </w:t>
      </w:r>
      <w:r>
        <w:t xml:space="preserve">where a non-zero effect could be identified. This aligns with the</w:t>
      </w:r>
      <w:r>
        <w:t xml:space="preserve"> </w:t>
      </w:r>
      <w:r>
        <w:t xml:space="preserve">correlation found by Olsson-Collentine et al. (2020).</w:t>
      </w:r>
    </w:p>
    <w:bookmarkStart w:id="27" w:name="X15b164c407643dd792f061883ece80777f69dc5"/>
    <w:p>
      <w:pPr>
        <w:pStyle w:val="Heading2"/>
      </w:pPr>
      <w:r>
        <w:t xml:space="preserve">Effect sizes and score reliability in meta-analysis</w:t>
      </w:r>
    </w:p>
    <w:p>
      <w:pPr>
        <w:pStyle w:val="FirstParagraph"/>
      </w:pPr>
      <w:r>
        <w:t xml:space="preserve">In both the initial reports of large scale replication attempts, as well</w:t>
      </w:r>
      <w:r>
        <w:t xml:space="preserve"> </w:t>
      </w:r>
      <w:r>
        <w:t xml:space="preserve">as the re-analyses by Olsson-Collentine et al. (2020), standardized</w:t>
      </w:r>
      <w:r>
        <w:t xml:space="preserve"> </w:t>
      </w:r>
      <w:r>
        <w:t xml:space="preserve">effect sizes (from here-on abbreviated as ES) such as Cohen’s d or</w:t>
      </w:r>
      <w:r>
        <w:t xml:space="preserve"> </w:t>
      </w:r>
      <w:r>
        <w:t xml:space="preserve">Hedge’s g were used. For the remainder of the article, Cohen’s d,</w:t>
      </w:r>
      <w:r>
        <w:t xml:space="preserve"> </w:t>
      </w:r>
      <w:r>
        <w:t xml:space="preserve">defined in</w:t>
      </w:r>
      <w:r>
        <w:t xml:space="preserve"> </w:t>
      </w:r>
      <w:hyperlink w:anchor="eq-d">
        <w:r>
          <w:rPr>
            <w:rStyle w:val="Hyperlink"/>
          </w:rPr>
          <w:t xml:space="preserve">Equation 1</w:t>
        </w:r>
      </w:hyperlink>
      <w:r>
        <w:t xml:space="preserve">, will be used as an exemplary estimate of ES, as it is</w:t>
      </w:r>
      <w:r>
        <w:t xml:space="preserve"> </w:t>
      </w:r>
      <w:r>
        <w:t xml:space="preserve">used across a wide range of contexts and well understood by a broad</w:t>
      </w:r>
      <w:r>
        <w:t xml:space="preserve"> </w:t>
      </w:r>
      <w:r>
        <w:t xml:space="preserve">audience.</w:t>
      </w:r>
    </w:p>
    <w:p>
      <w:pPr>
        <w:pStyle w:val="BodyText"/>
      </w:pPr>
      <w:bookmarkStart w:id="20" w:name="eq-d"/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D</m:t>
              </m:r>
            </m:num>
            <m:den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FirstParagraph"/>
      </w:pPr>
      <w:r>
        <w:t xml:space="preserve">Here, MD refers to the difference between two groups of interest, while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is the total pooled standard deviation. Since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constitutes</w:t>
      </w:r>
      <w:r>
        <w:t xml:space="preserve"> </w:t>
      </w:r>
      <w:r>
        <w:t xml:space="preserve">an observed effect size it is affected by sampling error. In terms of</w:t>
      </w:r>
      <w:r>
        <w:t xml:space="preserve"> </w:t>
      </w:r>
      <w:r>
        <w:t xml:space="preserve">heterogeneity, we are not interested in the variance of</w:t>
      </w:r>
      <w:r>
        <w:t xml:space="preserve"> </w:t>
      </w:r>
      <m:oMath>
        <m:r>
          <m:t>d</m:t>
        </m:r>
      </m:oMath>
      <w:r>
        <w:t xml:space="preserve">, but the</w:t>
      </w:r>
      <w:r>
        <w:t xml:space="preserve"> </w:t>
      </w:r>
      <w:r>
        <w:t xml:space="preserve">variance of the true, underlying ES</w:t>
      </w:r>
      <w:r>
        <w:t xml:space="preserve"> </w:t>
      </w:r>
      <m:oMath>
        <m:r>
          <m:t>δ</m:t>
        </m:r>
      </m:oMath>
      <w:r>
        <w:t xml:space="preserve">. The standard error of</w:t>
      </w:r>
      <w:r>
        <w:t xml:space="preserve"> </w:t>
      </w:r>
      <w:r>
        <w:t xml:space="preserve">Cohen’s</w:t>
      </w:r>
      <w:r>
        <w:t xml:space="preserve"> </w:t>
      </w:r>
      <m:oMath>
        <m:r>
          <m:t>d</m:t>
        </m:r>
      </m:oMath>
      <w:r>
        <w:t xml:space="preserve">, which is used to weight individual estimates in a</w:t>
      </w:r>
      <w:r>
        <w:t xml:space="preserve"> </w:t>
      </w:r>
      <w:r>
        <w:t xml:space="preserve">random-effects meta-analysis (reference) is computed as defined in</w:t>
      </w:r>
      <w:r>
        <w:t xml:space="preserve"> </w:t>
      </w:r>
      <w:hyperlink w:anchor="eq-SEd">
        <w:r>
          <w:rPr>
            <w:rStyle w:val="Hyperlink"/>
          </w:rPr>
          <w:t xml:space="preserve">Equation 2</w:t>
        </w:r>
      </w:hyperlink>
      <w:r>
        <w:t xml:space="preserve">.</w:t>
      </w:r>
    </w:p>
    <w:p>
      <w:pPr>
        <w:pStyle w:val="BodyText"/>
      </w:pPr>
      <w:bookmarkStart w:id="21" w:name="eq-SEd"/>
      <m:oMathPara>
        <m:oMathParaPr>
          <m:jc m:val="center"/>
        </m:oMathParaPr>
        <m:oMath>
          <m:r>
            <m:t>S</m:t>
          </m:r>
          <m:sSub>
            <m:e>
              <m:r>
                <m:t>E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den>
              </m:f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1"/>
    </w:p>
    <w:p>
      <w:pPr>
        <w:pStyle w:val="FirstParagraph"/>
      </w:pPr>
      <w:r>
        <w:t xml:space="preserve">As is widely known, score reliability affects ES. In the context of</w:t>
      </w:r>
      <w:r>
        <w:t xml:space="preserve"> </w:t>
      </w:r>
      <w:r>
        <w:t xml:space="preserve">classical test theory (CTT) score reliability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’</m:t>
            </m:r>
          </m:sub>
        </m:sSub>
      </m:oMath>
      <w:r>
        <w:t xml:space="preserve"> </w:t>
      </w:r>
      <w:r>
        <w:t xml:space="preserve">is defined as</w:t>
      </w:r>
      <w:r>
        <w:t xml:space="preserve"> </w:t>
      </w:r>
      <w:r>
        <w:t xml:space="preserve">the ratio of true to total score variance, as defined in</w:t>
      </w:r>
      <w:r>
        <w:t xml:space="preserve"> </w:t>
      </w:r>
      <w:hyperlink w:anchor="eq-rel">
        <w:r>
          <w:rPr>
            <w:rStyle w:val="Hyperlink"/>
          </w:rPr>
          <w:t xml:space="preserve">Equation 3</w:t>
        </w:r>
      </w:hyperlink>
      <w:r>
        <w:t xml:space="preserve">.</w:t>
      </w:r>
    </w:p>
    <w:p>
      <w:pPr>
        <w:pStyle w:val="BodyText"/>
      </w:pPr>
      <w:bookmarkStart w:id="22" w:name="eq-rel"/>
      <m:oMathPara>
        <m:oMathParaPr>
          <m:jc m:val="center"/>
        </m:oMathParaPr>
        <m:oMath>
          <m:sSub>
            <m:e>
              <m:r>
                <m:t>ρ</m:t>
              </m:r>
            </m:e>
            <m:sub>
              <m:r>
                <m:t>X</m:t>
              </m:r>
              <m:r>
                <m:t>X</m:t>
              </m:r>
              <m:r>
                <m:rPr>
                  <m:sty m:val="p"/>
                </m:rPr>
                <m:t>’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T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2"/>
    </w:p>
    <w:p>
      <w:pPr>
        <w:pStyle w:val="FirstParagraph"/>
      </w:pPr>
      <w:r>
        <w:t xml:space="preserve">In this equation</w:t>
      </w:r>
      <w:r>
        <w:t xml:space="preserve"> </w:t>
      </w:r>
      <m:oMath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refers to the true score variance in the</w:t>
      </w:r>
      <w:r>
        <w:t xml:space="preserve"> </w:t>
      </w:r>
      <w:r>
        <w:t xml:space="preserve">sense of CTT, meaning the actual variance of the variable, undistorted</w:t>
      </w:r>
      <w:r>
        <w:t xml:space="preserve"> </w:t>
      </w:r>
      <w:r>
        <w:t xml:space="preserve">by random measurement error. In the same sense,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refers to</w:t>
      </w:r>
      <w:r>
        <w:t xml:space="preserve"> </w:t>
      </w:r>
      <w:r>
        <w:t xml:space="preserve">the total variance of scores, including both the true variance and the</w:t>
      </w:r>
      <w:r>
        <w:t xml:space="preserve"> </w:t>
      </w:r>
      <w:r>
        <w:t xml:space="preserve">random error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. This implies that, if true score</w:t>
      </w:r>
      <w:r>
        <w:t xml:space="preserve"> </w:t>
      </w:r>
      <w:r>
        <w:t xml:space="preserve">variance is assumed to be constant across replications, a lower score</w:t>
      </w:r>
      <w:r>
        <w:t xml:space="preserve"> </w:t>
      </w:r>
      <w:r>
        <w:t xml:space="preserve">reliability can only occur due to a larger error score variance. Total</w:t>
      </w:r>
      <w:r>
        <w:t xml:space="preserve"> </w:t>
      </w:r>
      <w:r>
        <w:t xml:space="preserve">score variance would also be larger, therein leading to a smaller ES, as</w:t>
      </w:r>
      <w:r>
        <w:t xml:space="preserve"> </w:t>
      </w:r>
      <w:r>
        <w:t xml:space="preserve">opposed to a similar data-set where a higher score reliability is</w:t>
      </w:r>
      <w:r>
        <w:t xml:space="preserve"> </w:t>
      </w:r>
      <w:r>
        <w:t xml:space="preserve">achieved through a smaller error score variance. However, score</w:t>
      </w:r>
      <w:r>
        <w:t xml:space="preserve"> </w:t>
      </w:r>
      <w:r>
        <w:t xml:space="preserve">reliability is an aspect of a measuring instrument applied to a</w:t>
      </w:r>
      <w:r>
        <w:t xml:space="preserve"> </w:t>
      </w:r>
      <w:r>
        <w:t xml:space="preserve">population. In the meta-analytic context, as studies tend to be</w:t>
      </w:r>
      <w:r>
        <w:t xml:space="preserve"> </w:t>
      </w:r>
      <w:r>
        <w:t xml:space="preserve">replicated in different populations, neither true nor error score</w:t>
      </w:r>
      <w:r>
        <w:t xml:space="preserve"> </w:t>
      </w:r>
      <w:r>
        <w:t xml:space="preserve">variance can be expected to always be identical across replications.</w:t>
      </w:r>
      <w:r>
        <w:t xml:space="preserve"> </w:t>
      </w:r>
      <w:r>
        <w:t xml:space="preserve">This most likely leads to heterogeneity in score reliability, which, as</w:t>
      </w:r>
      <w:r>
        <w:t xml:space="preserve"> </w:t>
      </w:r>
      <w:r>
        <w:t xml:space="preserve">discussed, is bound to affect ES heterogeneity as well.</w:t>
      </w:r>
    </w:p>
    <w:p>
      <w:pPr>
        <w:pStyle w:val="BodyText"/>
      </w:pPr>
      <w:r>
        <w:t xml:space="preserve">Previous discussions of heterogeneity in score reliability have</w:t>
      </w:r>
      <w:r>
        <w:t xml:space="preserve"> </w:t>
      </w:r>
      <w:r>
        <w:t xml:space="preserve">exclusively discussed it as a parameter that inflates heterogeneity in</w:t>
      </w:r>
      <w:r>
        <w:t xml:space="preserve"> </w:t>
      </w:r>
      <w:r>
        <w:t xml:space="preserve">ES, implying that, if score reliability was perfect across all</w:t>
      </w:r>
      <w:r>
        <w:t xml:space="preserve"> </w:t>
      </w:r>
      <w:r>
        <w:t xml:space="preserve">replications, the actual heterogeneity would have been lower. In their</w:t>
      </w:r>
      <w:r>
        <w:t xml:space="preserve"> </w:t>
      </w:r>
      <w:r>
        <w:t xml:space="preserve">discussion, Wiernik and Dahlke claim that „</w:t>
      </w:r>
      <w:r>
        <w:rPr>
          <w:i/>
          <w:iCs/>
        </w:rPr>
        <w:t xml:space="preserve">Measurement error variance</w:t>
      </w:r>
      <w:r>
        <w:rPr>
          <w:i/>
          <w:iCs/>
        </w:rPr>
        <w:t xml:space="preserve"> </w:t>
      </w:r>
      <w:r>
        <w:rPr>
          <w:i/>
          <w:iCs/>
        </w:rPr>
        <w:t xml:space="preserve">will impact the results of meta-analyses in three ways: by (a) biasing</w:t>
      </w:r>
      <w:r>
        <w:rPr>
          <w:i/>
          <w:iCs/>
        </w:rPr>
        <w:t xml:space="preserve"> </w:t>
      </w:r>
      <w:r>
        <w:rPr>
          <w:i/>
          <w:iCs/>
        </w:rPr>
        <w:t xml:space="preserve">the mean effect size toward zero, (b) inflating effect-size</w:t>
      </w:r>
      <w:r>
        <w:rPr>
          <w:i/>
          <w:iCs/>
        </w:rPr>
        <w:t xml:space="preserve"> </w:t>
      </w:r>
      <w:r>
        <w:rPr>
          <w:i/>
          <w:iCs/>
        </w:rPr>
        <w:t xml:space="preserve">heterogeneity and confounding moderator effects, and (c) confounding</w:t>
      </w:r>
      <w:r>
        <w:rPr>
          <w:i/>
          <w:iCs/>
        </w:rPr>
        <w:t xml:space="preserve"> </w:t>
      </w:r>
      <w:r>
        <w:rPr>
          <w:i/>
          <w:iCs/>
        </w:rPr>
        <w:t xml:space="preserve">publication-bias and sensitivity analyses</w:t>
      </w:r>
      <w:r>
        <w:t xml:space="preserve">” (p. 3, 2020). Additionally,</w:t>
      </w:r>
      <w:r>
        <w:t xml:space="preserve"> </w:t>
      </w:r>
      <w:r>
        <w:t xml:space="preserve">more clearly, they state that</w:t>
      </w:r>
      <w:r>
        <w:t xml:space="preserve"> </w:t>
      </w:r>
      <w:r>
        <w:t xml:space="preserve">“</w:t>
      </w:r>
      <w:r>
        <w:rPr>
          <w:i/>
          <w:iCs/>
        </w:rPr>
        <w:t xml:space="preserve">If the studies included in a</w:t>
      </w:r>
      <w:r>
        <w:rPr>
          <w:i/>
          <w:iCs/>
        </w:rPr>
        <w:t xml:space="preserve"> </w:t>
      </w:r>
      <w:r>
        <w:rPr>
          <w:i/>
          <w:iCs/>
        </w:rPr>
        <w:t xml:space="preserve">meta-analysis differ in their measures’ reliabilities, heterogeneity</w:t>
      </w:r>
      <w:r>
        <w:rPr>
          <w:i/>
          <w:iCs/>
        </w:rPr>
        <w:t xml:space="preserve"> </w:t>
      </w:r>
      <w:r>
        <w:rPr>
          <w:i/>
          <w:iCs/>
        </w:rPr>
        <w:t xml:space="preserve">estimates will be artifactually inflated, erroneously suggesting larger</w:t>
      </w:r>
      <w:r>
        <w:rPr>
          <w:i/>
          <w:iCs/>
        </w:rPr>
        <w:t xml:space="preserve"> </w:t>
      </w:r>
      <w:r>
        <w:rPr>
          <w:i/>
          <w:iCs/>
        </w:rPr>
        <w:t xml:space="preserve">potential moderator effects</w:t>
      </w:r>
      <w:r>
        <w:t xml:space="preserve">”</w:t>
      </w:r>
      <w:r>
        <w:t xml:space="preserve"> </w:t>
      </w:r>
      <w:r>
        <w:t xml:space="preserve">(p. 4, Wiernik &amp; Dahlke, 2020). They base</w:t>
      </w:r>
      <w:r>
        <w:t xml:space="preserve"> </w:t>
      </w:r>
      <w:r>
        <w:t xml:space="preserve">their claims largely on work done by Hunter and Schmidt (2014), who</w:t>
      </w:r>
      <w:r>
        <w:t xml:space="preserve"> </w:t>
      </w:r>
      <w:r>
        <w:t xml:space="preserve">claim that</w:t>
      </w:r>
      <w:r>
        <w:t xml:space="preserve"> </w:t>
      </w:r>
      <w:r>
        <w:t xml:space="preserve">“</w:t>
      </w:r>
      <w:r>
        <w:rPr>
          <w:i/>
          <w:iCs/>
        </w:rPr>
        <w:t xml:space="preserve">Variation in reliability across studies causes variation in</w:t>
      </w:r>
      <w:r>
        <w:rPr>
          <w:i/>
          <w:iCs/>
        </w:rPr>
        <w:t xml:space="preserve"> </w:t>
      </w:r>
      <w:r>
        <w:rPr>
          <w:i/>
          <w:iCs/>
        </w:rPr>
        <w:t xml:space="preserve">the observed effect sizes above and beyond that produced by sampling</w:t>
      </w:r>
      <w:r>
        <w:rPr>
          <w:i/>
          <w:iCs/>
        </w:rPr>
        <w:t xml:space="preserve"> </w:t>
      </w:r>
      <w:r>
        <w:rPr>
          <w:i/>
          <w:iCs/>
        </w:rPr>
        <w:t xml:space="preserve">error.</w:t>
      </w:r>
      <w:r>
        <w:t xml:space="preserve">”</w:t>
      </w:r>
      <w:r>
        <w:t xml:space="preserve"> </w:t>
      </w:r>
      <w:r>
        <w:t xml:space="preserve">(p. 302). Overall, both references imply that differences in</w:t>
      </w:r>
      <w:r>
        <w:t xml:space="preserve"> </w:t>
      </w:r>
      <w:r>
        <w:t xml:space="preserve">score (un)reliability inevitably lead to an inflated heterogeneity in</w:t>
      </w:r>
      <w:r>
        <w:t xml:space="preserve"> </w:t>
      </w:r>
      <w:r>
        <w:t xml:space="preserve">ES.</w:t>
      </w:r>
    </w:p>
    <w:p>
      <w:pPr>
        <w:pStyle w:val="BodyText"/>
      </w:pPr>
      <w:r>
        <w:t xml:space="preserve">As both sources Hunter and Schmidt (2014) and Wiernik and Dahlke (2020)</w:t>
      </w:r>
      <w:r>
        <w:t xml:space="preserve"> </w:t>
      </w:r>
      <w:r>
        <w:t xml:space="preserve">will be referred to repeatedly, we abbreviate these references as H&amp;S</w:t>
      </w:r>
      <w:r>
        <w:t xml:space="preserve"> </w:t>
      </w:r>
      <w:r>
        <w:t xml:space="preserve">and W&amp;D respectively.</w:t>
      </w:r>
    </w:p>
    <w:bookmarkStart w:id="26" w:name="attenuation-correction"/>
    <w:p>
      <w:pPr>
        <w:pStyle w:val="Heading3"/>
      </w:pPr>
      <w:r>
        <w:t xml:space="preserve">Attenuation correction</w:t>
      </w:r>
    </w:p>
    <w:p>
      <w:pPr>
        <w:pStyle w:val="FirstParagraph"/>
      </w:pPr>
      <w:r>
        <w:t xml:space="preserve">If information concerning score reliability is available, it is possible</w:t>
      </w:r>
      <w:r>
        <w:t xml:space="preserve"> </w:t>
      </w:r>
      <w:r>
        <w:t xml:space="preserve">to correct the individual ES for its unreliability. This process is also</w:t>
      </w:r>
      <w:r>
        <w:t xml:space="preserve"> </w:t>
      </w:r>
      <w:r>
        <w:t xml:space="preserve">known as attenuation correction and, while not without its criticisms</w:t>
      </w:r>
      <w:r>
        <w:t xml:space="preserve"> </w:t>
      </w:r>
      <w:r>
        <w:t xml:space="preserve">(reference), is a widespread practice in Psychology (reference).</w:t>
      </w:r>
      <w:r>
        <w:t xml:space="preserve"> </w:t>
      </w:r>
      <w:hyperlink w:anchor="eq-dc">
        <w:r>
          <w:rPr>
            <w:rStyle w:val="Hyperlink"/>
          </w:rPr>
          <w:t xml:space="preserve">Equation 4</w:t>
        </w:r>
      </w:hyperlink>
      <w:r>
        <w:t xml:space="preserve"> </w:t>
      </w:r>
      <w:r>
        <w:t xml:space="preserve">describes a simple attenuation correction procedure.</w:t>
      </w:r>
    </w:p>
    <w:p>
      <w:pPr>
        <w:pStyle w:val="BodyText"/>
      </w:pPr>
      <w:bookmarkStart w:id="23" w:name="eq-dc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ρ</m:t>
                          </m:r>
                        </m:e>
                      </m:acc>
                    </m:e>
                    <m:sub>
                      <m:r>
                        <m:t>x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’</m:t>
                      </m:r>
                    </m:sub>
                  </m:sSub>
                </m:e>
              </m:ra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23"/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describes the attenuation-corrected estimate of</w:t>
      </w:r>
      <w:r>
        <w:t xml:space="preserve"> </w:t>
      </w:r>
      <m:oMath>
        <m:r>
          <m:t>d</m:t>
        </m:r>
      </m:oMath>
      <w:r>
        <w:t xml:space="preserve">, which</w:t>
      </w:r>
      <w:r>
        <w:t xml:space="preserve"> </w:t>
      </w:r>
      <w:r>
        <w:t xml:space="preserve">is corrected by dividing it by the estimate of score reliability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ρ</m:t>
                </m:r>
              </m:e>
            </m:acc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’</m:t>
            </m:r>
          </m:sub>
        </m:sSub>
      </m:oMath>
      <w:r>
        <w:t xml:space="preserve">. As described in W&amp;D or Lord &amp; Novick (references),</w:t>
      </w:r>
      <w:r>
        <w:t xml:space="preserve"> </w:t>
      </w:r>
      <w:r>
        <w:t xml:space="preserve">this is essentially the same, as if the corrected estimate of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was</w:t>
      </w:r>
      <w:r>
        <w:t xml:space="preserve"> </w:t>
      </w:r>
      <w:r>
        <w:t xml:space="preserve">constructed using an estimate of true score standard deviation, as in</w:t>
      </w:r>
      <w:r>
        <w:t xml:space="preserve"> </w:t>
      </w:r>
      <w:hyperlink w:anchor="eq-dct">
        <w:r>
          <w:rPr>
            <w:rStyle w:val="Hyperlink"/>
          </w:rPr>
          <w:t xml:space="preserve">Equation 5</w:t>
        </w:r>
      </w:hyperlink>
      <w:r>
        <w:t xml:space="preserve">.</w:t>
      </w:r>
    </w:p>
    <w:p>
      <w:pPr>
        <w:pStyle w:val="BodyText"/>
      </w:pPr>
      <w:bookmarkStart w:id="24" w:name="eq-dct"/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D</m:t>
              </m:r>
            </m:num>
            <m:den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D</m:t>
              </m:r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ρ</m:t>
                          </m:r>
                        </m:e>
                      </m:acc>
                    </m:e>
                    <m:sub>
                      <m:r>
                        <m:t>x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’</m:t>
                      </m:r>
                    </m:sub>
                  </m:sSub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σ</m:t>
                          </m:r>
                        </m:e>
                      </m:acc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24"/>
    </w:p>
    <w:p>
      <w:pPr>
        <w:pStyle w:val="FirstParagraph"/>
      </w:pP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can be estimated by simply rearranging the terms from</w:t>
      </w:r>
      <w:r>
        <w:t xml:space="preserve"> </w:t>
      </w:r>
      <w:hyperlink w:anchor="eq-rel">
        <w:r>
          <w:rPr>
            <w:rStyle w:val="Hyperlink"/>
          </w:rPr>
          <w:t xml:space="preserve">Equation 3</w:t>
        </w:r>
      </w:hyperlink>
      <w:r>
        <w:t xml:space="preserve">. Thereby, an estimate of ES is generated, under the premise that</w:t>
      </w:r>
      <w:r>
        <w:t xml:space="preserve"> </w:t>
      </w:r>
      <w:r>
        <w:t xml:space="preserve">score reliability would have been perfect (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′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). As the</w:t>
      </w:r>
      <w:r>
        <w:t xml:space="preserve"> </w:t>
      </w:r>
      <w:r>
        <w:t xml:space="preserve">corrected estimate of Cohen’s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larger and requires an additional</w:t>
      </w:r>
      <w:r>
        <w:t xml:space="preserve"> </w:t>
      </w:r>
      <w:r>
        <w:t xml:space="preserve">unknown parameter, an estimate of score reliability, the larger</w:t>
      </w:r>
      <w:r>
        <w:t xml:space="preserve"> </w:t>
      </w:r>
      <w:r>
        <w:t xml:space="preserve">uncertainty in this parameter should be reflected in a larger standard</w:t>
      </w:r>
      <w:r>
        <w:t xml:space="preserve"> </w:t>
      </w:r>
      <w:r>
        <w:t xml:space="preserve">error. The standard error for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is defined in</w:t>
      </w:r>
      <w:r>
        <w:t xml:space="preserve"> </w:t>
      </w:r>
      <w:hyperlink w:anchor="eq-SEdc">
        <w:r>
          <w:rPr>
            <w:rStyle w:val="Hyperlink"/>
          </w:rPr>
          <w:t xml:space="preserve">Equation 6</w:t>
        </w:r>
      </w:hyperlink>
      <w:r>
        <w:t xml:space="preserve">.</w:t>
      </w:r>
    </w:p>
    <w:p>
      <w:pPr>
        <w:pStyle w:val="BodyText"/>
      </w:pPr>
      <w:bookmarkStart w:id="25" w:name="eq-SEdc"/>
      <m:oMathPara>
        <m:oMathParaPr>
          <m:jc m:val="center"/>
        </m:oMathParaPr>
        <m:oMath>
          <m:r>
            <m:t>S</m:t>
          </m:r>
          <m:sSub>
            <m:e>
              <m:r>
                <m:t>E</m:t>
              </m:r>
            </m:e>
            <m:sub>
              <m:sSub>
                <m:e>
                  <m:r>
                    <m:t>d</m:t>
                  </m:r>
                </m:e>
                <m:sub>
                  <m:r>
                    <m:t>c</m:t>
                  </m:r>
                </m:sub>
              </m:sSub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S</m:t>
              </m:r>
              <m:sSubSup>
                <m:e>
                  <m:r>
                    <m:t>E</m:t>
                  </m:r>
                </m:e>
                <m:sub>
                  <m:r>
                    <m:t>d</m:t>
                  </m:r>
                </m:sub>
                <m:sup>
                  <m:r>
                    <m:t>2</m:t>
                  </m:r>
                </m:sup>
              </m:sSubSup>
              <m:f>
                <m:fPr>
                  <m:type m:val="bar"/>
                </m:fPr>
                <m:num>
                  <m:sSub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</m:num>
                <m:den>
                  <m:r>
                    <m:t>d</m:t>
                  </m:r>
                </m:den>
              </m:f>
            </m:e>
          </m:ra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25"/>
    </w:p>
    <w:p>
      <w:pPr>
        <w:pStyle w:val="FirstParagraph"/>
      </w:pPr>
      <w:r>
        <w:t xml:space="preserve">The claims made by W&amp;D imply that corrections of individual observed ESs</w:t>
      </w:r>
      <w:r>
        <w:t xml:space="preserve"> </w:t>
      </w:r>
      <w:r>
        <w:t xml:space="preserve">for their unreliability should lead to lower estimates of heterogeneity</w:t>
      </w:r>
      <w:r>
        <w:t xml:space="preserve"> </w:t>
      </w:r>
      <w:r>
        <w:t xml:space="preserve">in meta-analyses of corrected ES. If heterogeneity in score reliability</w:t>
      </w:r>
      <w:r>
        <w:t xml:space="preserve"> </w:t>
      </w:r>
      <w:r>
        <w:t xml:space="preserve">adds to ES heterogeneity, attenuation correction procedures should</w:t>
      </w:r>
      <w:r>
        <w:t xml:space="preserve"> </w:t>
      </w:r>
      <w:r>
        <w:t xml:space="preserve">eliminate that additional variation, as all corrected ES come with</w:t>
      </w:r>
      <w:r>
        <w:t xml:space="preserve"> </w:t>
      </w:r>
      <w:r>
        <w:t xml:space="preserve">identical (perfect) score reliability.</w:t>
      </w:r>
    </w:p>
    <w:p>
      <w:pPr>
        <w:pStyle w:val="BodyText"/>
      </w:pPr>
      <w:r>
        <w:t xml:space="preserve">Re-analyses of the collaborative multi-site replication efforts have</w:t>
      </w:r>
      <w:r>
        <w:t xml:space="preserve"> </w:t>
      </w:r>
      <w:r>
        <w:t xml:space="preserve">uncovered differences in score reliability across replications of the</w:t>
      </w:r>
      <w:r>
        <w:t xml:space="preserve"> </w:t>
      </w:r>
      <w:r>
        <w:t xml:space="preserve">same phenomena (ref McShaw etc.). The claims made in W&amp;D and H&amp;S imply</w:t>
      </w:r>
      <w:r>
        <w:t xml:space="preserve"> </w:t>
      </w:r>
      <w:r>
        <w:t xml:space="preserve">that the ES heterogeneity uncovered in these projects therefore could</w:t>
      </w:r>
      <w:r>
        <w:t xml:space="preserve"> </w:t>
      </w:r>
      <w:r>
        <w:t xml:space="preserve">potentially be explained by these differences in score reliability. The</w:t>
      </w:r>
      <w:r>
        <w:t xml:space="preserve"> </w:t>
      </w:r>
      <w:r>
        <w:t xml:space="preserve">same argument has been proposed by both original authors of phenomena</w:t>
      </w:r>
      <w:r>
        <w:t xml:space="preserve"> </w:t>
      </w:r>
      <w:r>
        <w:t xml:space="preserve">that did not replicate or carry substantial heterogeneity (references)</w:t>
      </w:r>
      <w:r>
        <w:t xml:space="preserve"> </w:t>
      </w:r>
      <w:r>
        <w:t xml:space="preserve">as well as the authors of the multi-site replication attempts (refs).</w:t>
      </w:r>
      <w:r>
        <w:t xml:space="preserve"> </w:t>
      </w:r>
      <w:r>
        <w:t xml:space="preserve">Over the following pages, we assess for the first time, whether the</w:t>
      </w:r>
      <w:r>
        <w:t xml:space="preserve"> </w:t>
      </w:r>
      <w:r>
        <w:t xml:space="preserve">differences in score reliability do indeed explain, and thereby reduce,</w:t>
      </w:r>
      <w:r>
        <w:t xml:space="preserve"> </w:t>
      </w:r>
      <w:r>
        <w:t xml:space="preserve">the ES heterogeneity observed across the different multi-site</w:t>
      </w:r>
      <w:r>
        <w:t xml:space="preserve"> </w:t>
      </w:r>
      <w:r>
        <w:t xml:space="preserve">replication efforts. Even though only a limited number of phenomena</w:t>
      </w:r>
      <w:r>
        <w:t xml:space="preserve"> </w:t>
      </w:r>
      <w:r>
        <w:t xml:space="preserve">allow for such an analysis, we find no evidence for a reduction in ES</w:t>
      </w:r>
      <w:r>
        <w:t xml:space="preserve"> </w:t>
      </w:r>
      <w:r>
        <w:t xml:space="preserve">heterogeneity after taking score reliability into account. Subsequently,</w:t>
      </w:r>
      <w:r>
        <w:t xml:space="preserve"> </w:t>
      </w:r>
      <w:r>
        <w:t xml:space="preserve">we discuss why the expectation formulated in H&amp;S does not allow for such</w:t>
      </w:r>
      <w:r>
        <w:t xml:space="preserve"> </w:t>
      </w:r>
      <w:r>
        <w:t xml:space="preserve">claims. Alternatively, we explore to what extent defining ES as a random</w:t>
      </w:r>
      <w:r>
        <w:t xml:space="preserve"> </w:t>
      </w:r>
      <w:r>
        <w:t xml:space="preserve">ratio variable helps understand how ES heterogeneity is affected by</w:t>
      </w:r>
      <w:r>
        <w:t xml:space="preserve"> </w:t>
      </w:r>
      <w:r>
        <w:t xml:space="preserve">differences in score reliability. We close with a discussion on what</w:t>
      </w:r>
      <w:r>
        <w:t xml:space="preserve"> </w:t>
      </w:r>
      <w:r>
        <w:t xml:space="preserve">future meta-analysts can expect, when dealing with issues of</w:t>
      </w:r>
      <w:r>
        <w:t xml:space="preserve"> </w:t>
      </w:r>
      <w:r>
        <w:t xml:space="preserve">(un)reliability in assessments of meta-analyses of ES.</w:t>
      </w:r>
    </w:p>
    <w:bookmarkEnd w:id="26"/>
    <w:bookmarkEnd w:id="27"/>
    <w:bookmarkStart w:id="40" w:name="re-analysis-of-archival-data"/>
    <w:p>
      <w:pPr>
        <w:pStyle w:val="Heading2"/>
      </w:pPr>
      <w:r>
        <w:t xml:space="preserve">Re-analysis of archival data</w:t>
      </w:r>
    </w:p>
    <w:p>
      <w:pPr>
        <w:pStyle w:val="FirstParagraph"/>
      </w:pPr>
      <w:r>
        <w:t xml:space="preserve">We have attempted to collect all openly available multi-site direct</w:t>
      </w:r>
      <w:r>
        <w:t xml:space="preserve"> </w:t>
      </w:r>
      <w:r>
        <w:t xml:space="preserve">replications on psychological phenomena (Fünderich et al. 2024). The</w:t>
      </w:r>
      <w:r>
        <w:t xml:space="preserve"> </w:t>
      </w:r>
      <w:r>
        <w:t xml:space="preserve">data-sets of about 50 phenomena , largely stemming from the efforts of</w:t>
      </w:r>
      <w:r>
        <w:t xml:space="preserve"> </w:t>
      </w:r>
      <w:r>
        <w:t xml:space="preserve">the Many Labs studies, Registered Replication Reports or the</w:t>
      </w:r>
      <w:r>
        <w:t xml:space="preserve"> </w:t>
      </w:r>
      <w:r>
        <w:t xml:space="preserve">Psychological Science Accelerator, are made openly available in a</w:t>
      </w:r>
      <w:r>
        <w:t xml:space="preserve"> </w:t>
      </w:r>
      <w:r>
        <w:t xml:space="preserve">standardised format at [osf.io], the DRIPHT repository.</w:t>
      </w:r>
    </w:p>
    <w:bookmarkStart w:id="28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The ManyLabs projects were collaborative efforts to replicate several</w:t>
      </w:r>
      <w:r>
        <w:t xml:space="preserve"> </w:t>
      </w:r>
      <w:r>
        <w:t xml:space="preserve">psychological phenomena across different research sites, employing</w:t>
      </w:r>
      <w:r>
        <w:t xml:space="preserve"> </w:t>
      </w:r>
      <w:r>
        <w:t xml:space="preserve">identical protocols. From five published projects, the data for the</w:t>
      </w:r>
      <w:r>
        <w:t xml:space="preserve"> </w:t>
      </w:r>
      <w:r>
        <w:t xml:space="preserve">first three and the fifth Many Labs projects was made publicly available</w:t>
      </w:r>
      <w:r>
        <w:t xml:space="preserve"> </w:t>
      </w:r>
      <w:r>
        <w:t xml:space="preserve">when the DRIPHT repository was set up (references). The Registered</w:t>
      </w:r>
      <w:r>
        <w:t xml:space="preserve"> </w:t>
      </w:r>
      <w:r>
        <w:t xml:space="preserve">Replication Reports are similar collaborative efforts, with the sole</w:t>
      </w:r>
      <w:r>
        <w:t xml:space="preserve"> </w:t>
      </w:r>
      <w:r>
        <w:t xml:space="preserve">distinction that for each report a single phenomenon was replicated</w:t>
      </w:r>
      <w:r>
        <w:t xml:space="preserve"> </w:t>
      </w:r>
      <w:r>
        <w:t xml:space="preserve">several times. The Registered Reports 3-10 were added to the DRIPHT</w:t>
      </w:r>
      <w:r>
        <w:t xml:space="preserve"> </w:t>
      </w:r>
      <w:r>
        <w:t xml:space="preserve">repository, as they employed experimental designs with at least two</w:t>
      </w:r>
      <w:r>
        <w:t xml:space="preserve"> </w:t>
      </w:r>
      <w:r>
        <w:t xml:space="preserve">groups. Lastly, some projects from the Psychological Science Accelerator</w:t>
      </w:r>
      <w:r>
        <w:t xml:space="preserve"> </w:t>
      </w:r>
      <w:r>
        <w:t xml:space="preserve">were added to the DRIPHT repository. Different to Many Labs or</w:t>
      </w:r>
      <w:r>
        <w:t xml:space="preserve"> </w:t>
      </w:r>
      <w:r>
        <w:t xml:space="preserve">Registered Replication Projects, these collaborative efforts, while also</w:t>
      </w:r>
      <w:r>
        <w:t xml:space="preserve"> </w:t>
      </w:r>
      <w:r>
        <w:t xml:space="preserve">distributed across the globe, do not formally attempt to perform direct</w:t>
      </w:r>
      <w:r>
        <w:t xml:space="preserve"> </w:t>
      </w:r>
      <w:r>
        <w:t xml:space="preserve">replications, but focus on original research or conceptual replications.</w:t>
      </w:r>
      <w:r>
        <w:t xml:space="preserve"> </w:t>
      </w:r>
      <w:r>
        <w:t xml:space="preserve">However, as for each project, across all sites the same protocol is</w:t>
      </w:r>
      <w:r>
        <w:t xml:space="preserve"> </w:t>
      </w:r>
      <w:r>
        <w:t xml:space="preserve">used, and the subjects are distributed across different countries, a</w:t>
      </w:r>
      <w:r>
        <w:t xml:space="preserve"> </w:t>
      </w:r>
      <w:r>
        <w:t xml:space="preserve">data structure similar to that of a multi-site replication study</w:t>
      </w:r>
      <w:r>
        <w:t xml:space="preserve"> </w:t>
      </w:r>
      <w:r>
        <w:t xml:space="preserve">emerges. What makes all these collaborative efforts valuable for this</w:t>
      </w:r>
      <w:r>
        <w:t xml:space="preserve"> </w:t>
      </w:r>
      <w:r>
        <w:t xml:space="preserve">manuscript is the fact that all phenomena collected in the</w:t>
      </w:r>
      <w:r>
        <w:t xml:space="preserve"> </w:t>
      </w:r>
      <w:r>
        <w:t xml:space="preserve">DRIPHT-repository are making use of two-group designs and are therefore</w:t>
      </w:r>
      <w:r>
        <w:t xml:space="preserve"> </w:t>
      </w:r>
      <w:r>
        <w:t xml:space="preserve">easily assessed using standardised effect sizes.</w:t>
      </w:r>
    </w:p>
    <w:p>
      <w:pPr>
        <w:pStyle w:val="BodyText"/>
      </w:pPr>
      <w:r>
        <w:t xml:space="preserve">While replication data on a decent number of psychological phenomena is</w:t>
      </w:r>
      <w:r>
        <w:t xml:space="preserve"> </w:t>
      </w:r>
      <w:r>
        <w:t xml:space="preserve">available in the DRIPHT-repository, to demonstrate how incorporating</w:t>
      </w:r>
      <w:r>
        <w:t xml:space="preserve"> </w:t>
      </w:r>
      <w:r>
        <w:t xml:space="preserve">score reliability affects heterogeneity in ES, selected phenomena need</w:t>
      </w:r>
      <w:r>
        <w:t xml:space="preserve"> </w:t>
      </w:r>
      <w:r>
        <w:t xml:space="preserve">to fulfil three conditions: (1) As we focus on the use of ES</w:t>
      </w:r>
      <w:r>
        <w:t xml:space="preserve"> </w:t>
      </w:r>
      <m:oMath>
        <m:r>
          <m:t>d</m:t>
        </m:r>
      </m:oMath>
      <w:r>
        <w:t xml:space="preserve">, the</w:t>
      </w:r>
      <w:r>
        <w:t xml:space="preserve"> </w:t>
      </w:r>
      <w:r>
        <w:t xml:space="preserve">phenomenon needs to be assessed using a two-group design. This is the</w:t>
      </w:r>
      <w:r>
        <w:t xml:space="preserve"> </w:t>
      </w:r>
      <w:r>
        <w:t xml:space="preserve">case for all projects in the DRIPHT repository; (2) Score reliability</w:t>
      </w:r>
      <w:r>
        <w:t xml:space="preserve"> </w:t>
      </w:r>
      <w:r>
        <w:t xml:space="preserve">estimates can be derived, this implies that the phenomenon needs to be</w:t>
      </w:r>
      <w:r>
        <w:t xml:space="preserve"> </w:t>
      </w:r>
      <w:r>
        <w:t xml:space="preserve">measured using either several indicators forming a single scale or by</w:t>
      </w:r>
      <w:r>
        <w:t xml:space="preserve"> </w:t>
      </w:r>
      <w:r>
        <w:t xml:space="preserve">repeatedly measuring across several timepoints; (3) Score reliability</w:t>
      </w:r>
      <w:r>
        <w:t xml:space="preserve"> </w:t>
      </w:r>
      <w:r>
        <w:t xml:space="preserve">can only attenuate effect sizes that are not zero in the first place.</w:t>
      </w:r>
      <w:r>
        <w:t xml:space="preserve"> </w:t>
      </w:r>
      <w:r>
        <w:t xml:space="preserve">Therefore, we focus on phenomena where meta-analytic mean ES can be</w:t>
      </w:r>
      <w:r>
        <w:t xml:space="preserve"> </w:t>
      </w:r>
      <w:r>
        <w:t xml:space="preserve">statistically distinguished from zero.</w:t>
      </w:r>
    </w:p>
    <w:p>
      <w:pPr>
        <w:pStyle w:val="BodyText"/>
      </w:pPr>
      <w:r>
        <w:t xml:space="preserve">As all phenomena in the collection fulfil the first condition, 50</w:t>
      </w:r>
      <w:r>
        <w:t xml:space="preserve"> </w:t>
      </w:r>
      <w:r>
        <w:t xml:space="preserve">phenomena have been catalogued where the effect is studied by comparing</w:t>
      </w:r>
      <w:r>
        <w:t xml:space="preserve"> </w:t>
      </w:r>
      <w:r>
        <w:t xml:space="preserve">the outcome across two separate groups. While the majority of designs</w:t>
      </w:r>
      <w:r>
        <w:t xml:space="preserve"> </w:t>
      </w:r>
      <w:r>
        <w:t xml:space="preserve">make use of some form of control-treatment manipulation, randomly</w:t>
      </w:r>
      <w:r>
        <w:t xml:space="preserve"> </w:t>
      </w:r>
      <w:r>
        <w:t xml:space="preserve">assigning participants to a condition (20 phenomena), some phenomena</w:t>
      </w:r>
      <w:r>
        <w:t xml:space="preserve"> </w:t>
      </w:r>
      <w:r>
        <w:t xml:space="preserve">discuss the effect of pre-existing differences, e.g. biological sex (2</w:t>
      </w:r>
      <w:r>
        <w:t xml:space="preserve"> </w:t>
      </w:r>
      <w:r>
        <w:t xml:space="preserve">phenomena). From the collection of 50 phenomena, 22 fulfil the second</w:t>
      </w:r>
      <w:r>
        <w:t xml:space="preserve"> </w:t>
      </w:r>
      <w:r>
        <w:t xml:space="preserve">condition, so that estimates of score reliability can be derived. For</w:t>
      </w:r>
      <w:r>
        <w:t xml:space="preserve"> </w:t>
      </w:r>
      <w:r>
        <w:t xml:space="preserve">these phenomena, the dependent variable used to construct the effect</w:t>
      </w:r>
      <w:r>
        <w:t xml:space="preserve"> </w:t>
      </w:r>
      <w:r>
        <w:t xml:space="preserve">size is measured by employing more than a single indicator. At the same</w:t>
      </w:r>
      <w:r>
        <w:t xml:space="preserve"> </w:t>
      </w:r>
      <w:r>
        <w:t xml:space="preserve">time, however, this implies that the remaining 28 phenomena did not make</w:t>
      </w:r>
      <w:r>
        <w:t xml:space="preserve"> </w:t>
      </w:r>
      <w:r>
        <w:t xml:space="preserve">use of more than a single indicator to measure the dependent variable.</w:t>
      </w:r>
      <w:r>
        <w:t xml:space="preserve"> </w:t>
      </w:r>
      <w:r>
        <w:t xml:space="preserve">Therefore, for the majority of phenomena it is not possible to assess in</w:t>
      </w:r>
      <w:r>
        <w:t xml:space="preserve"> </w:t>
      </w:r>
      <w:r>
        <w:t xml:space="preserve">how far measurement quality is sufficiently high in terms of e.g.</w:t>
      </w:r>
      <w:r>
        <w:t xml:space="preserve"> </w:t>
      </w:r>
      <w:r>
        <w:t xml:space="preserve">internal consistency or low random error variance.</w:t>
      </w:r>
    </w:p>
    <w:p>
      <w:pPr>
        <w:pStyle w:val="BodyText"/>
      </w:pPr>
      <w:r>
        <w:t xml:space="preserve">From the 22 phenomena that employed more than a single indicator, 19</w:t>
      </w:r>
      <w:r>
        <w:t xml:space="preserve"> </w:t>
      </w:r>
      <w:r>
        <w:t xml:space="preserve">made use of Likert-style items, where respondents would indicate their</w:t>
      </w:r>
      <w:r>
        <w:t xml:space="preserve"> </w:t>
      </w:r>
      <w:r>
        <w:t xml:space="preserve">agreement to some kind of statement. The scale-length varied from 3 to</w:t>
      </w:r>
      <w:r>
        <w:t xml:space="preserve"> </w:t>
      </w:r>
      <w:r>
        <w:t xml:space="preserve">10-points. The items measuring the remaining 3 phenomena were coded</w:t>
      </w:r>
      <w:r>
        <w:t xml:space="preserve"> </w:t>
      </w:r>
      <w:r>
        <w:t xml:space="preserve">dichotomously, as responses were right or wrong (2 cases), or expressed</w:t>
      </w:r>
      <w:r>
        <w:t xml:space="preserve"> </w:t>
      </w:r>
      <w:r>
        <w:t xml:space="preserve">agreement vs disagreement dichotomously (1 case). Subsequently, those</w:t>
      </w:r>
      <w:r>
        <w:t xml:space="preserve"> </w:t>
      </w:r>
      <w:r>
        <w:t xml:space="preserve">phenomena need to be identified where the meta-analytic mean effect size</w:t>
      </w:r>
      <w:r>
        <w:t xml:space="preserve"> </w:t>
      </w:r>
      <w:r>
        <w:t xml:space="preserve">is statistically significant different from zero. This will be done as a</w:t>
      </w:r>
      <w:r>
        <w:t xml:space="preserve"> </w:t>
      </w:r>
      <w:r>
        <w:t xml:space="preserve">first step of this manuscript’s analysis procedure. Detailed information</w:t>
      </w:r>
      <w:r>
        <w:t xml:space="preserve"> </w:t>
      </w:r>
      <w:r>
        <w:t xml:space="preserve">concerning the different phenomena and how they were measured can be</w:t>
      </w:r>
      <w:r>
        <w:t xml:space="preserve"> </w:t>
      </w:r>
      <w:r>
        <w:t xml:space="preserve">found at [osf-link], while a brief summary can be found in Table A.</w:t>
      </w:r>
    </w:p>
    <w:p>
      <w:pPr>
        <w:pStyle w:val="BodyText"/>
      </w:pPr>
      <w:r>
        <w:t xml:space="preserve">To assess whether ES heterogeneity can be reduced by correcting for</w:t>
      </w:r>
      <w:r>
        <w:t xml:space="preserve"> </w:t>
      </w:r>
      <w:r>
        <w:t xml:space="preserve">score reliability, estimates of meta-analytic heterogeneity are compared</w:t>
      </w:r>
      <w:r>
        <w:t xml:space="preserve"> </w:t>
      </w:r>
      <w:r>
        <w:t xml:space="preserve">across two situations: first, heterogeneity of raw ES, as computed in</w:t>
      </w:r>
      <w:r>
        <w:t xml:space="preserve"> </w:t>
      </w:r>
      <w:r>
        <w:t xml:space="preserve">equation 1 is assessed. Secondly, ES are corrected for imperfect</w:t>
      </w:r>
      <w:r>
        <w:t xml:space="preserve"> </w:t>
      </w:r>
      <w:r>
        <w:t xml:space="preserve">reliability. Computing the heterogeneity of these corrected ES allows</w:t>
      </w:r>
      <w:r>
        <w:t xml:space="preserve"> </w:t>
      </w:r>
      <w:r>
        <w:t xml:space="preserve">for an assessment, whether the heterogeneity did indeed shrink compared</w:t>
      </w:r>
      <w:r>
        <w:t xml:space="preserve"> </w:t>
      </w:r>
      <w:r>
        <w:t xml:space="preserve">to the first situation, as predicted in W&amp;D and H&amp;S.</w:t>
      </w:r>
    </w:p>
    <w:bookmarkEnd w:id="28"/>
    <w:bookmarkStart w:id="31" w:name="methods"/>
    <w:p>
      <w:pPr>
        <w:pStyle w:val="Heading3"/>
      </w:pPr>
      <w:r>
        <w:t xml:space="preserve">Methods</w:t>
      </w:r>
    </w:p>
    <w:p>
      <w:pPr>
        <w:pStyle w:val="FirstParagraph"/>
      </w:pPr>
      <w:r>
        <w:t xml:space="preserve">For each replication of a phenomenon, Cohen’s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computed as an</w:t>
      </w:r>
      <w:r>
        <w:t xml:space="preserve"> </w:t>
      </w:r>
      <w:r>
        <w:t xml:space="preserve">estimate of raw ES, according to</w:t>
      </w:r>
      <w:r>
        <w:t xml:space="preserve"> </w:t>
      </w:r>
      <w:hyperlink w:anchor="eq-d">
        <w:r>
          <w:rPr>
            <w:rStyle w:val="Hyperlink"/>
          </w:rPr>
          <w:t xml:space="preserve">Equation 1</w:t>
        </w:r>
      </w:hyperlink>
      <w:r>
        <w:t xml:space="preserve">, including its standard error</w:t>
      </w:r>
      <w:r>
        <w:t xml:space="preserve"> </w:t>
      </w:r>
      <w:r>
        <w:t xml:space="preserve">(</w:t>
      </w:r>
      <w:hyperlink w:anchor="eq-SEd">
        <w:r>
          <w:rPr>
            <w:rStyle w:val="Hyperlink"/>
          </w:rPr>
          <w:t xml:space="preserve">Equation 2</w:t>
        </w:r>
      </w:hyperlink>
      <w:r>
        <w:t xml:space="preserve">). Subsequently, a random-effects meta-analysis is performed</w:t>
      </w:r>
      <w:r>
        <w:t xml:space="preserve"> </w:t>
      </w:r>
      <w:r>
        <w:t xml:space="preserve">using metafor version X.XX. To estimate meta-analytic mean ES and</w:t>
      </w:r>
      <w:r>
        <w:t xml:space="preserve"> </w:t>
      </w:r>
      <w:r>
        <w:t xml:space="preserve">heterogeneity, the REML-estimator is used (ref). To identify which</w:t>
      </w:r>
      <w:r>
        <w:t xml:space="preserve"> </w:t>
      </w:r>
      <w:r>
        <w:t xml:space="preserve">phenomena pass criterion (3), using a Wald-type significance test we</w:t>
      </w:r>
      <w:r>
        <w:t xml:space="preserve"> </w:t>
      </w:r>
      <w:r>
        <w:t xml:space="preserve">assess for which phenomenon the meta-analytic mean ES is significantly</w:t>
      </w:r>
      <w:r>
        <w:t xml:space="preserve"> </w:t>
      </w:r>
      <w:r>
        <w:t xml:space="preserve">different from zero. For this hypothesis test, as all other hypothesis</w:t>
      </w:r>
      <w:r>
        <w:t xml:space="preserve"> </w:t>
      </w:r>
      <w:r>
        <w:t xml:space="preserve">tests in this manuscript, a significance level of .05 is used.</w:t>
      </w:r>
    </w:p>
    <w:p>
      <w:pPr>
        <w:pStyle w:val="BodyText"/>
      </w:pPr>
      <w:r>
        <w:t xml:space="preserve">Additionally, estimates of score reliability are derived. While not</w:t>
      </w:r>
      <w:r>
        <w:t xml:space="preserve"> </w:t>
      </w:r>
      <w:r>
        <w:t xml:space="preserve">without criticism (references), Cronbach’s Alpha is used to estimate</w:t>
      </w:r>
      <w:r>
        <w:t xml:space="preserve"> </w:t>
      </w:r>
      <w:r>
        <w:t xml:space="preserve">score reliability. It is often noted that tau-equivalence is an</w:t>
      </w:r>
      <w:r>
        <w:t xml:space="preserve"> </w:t>
      </w:r>
      <w:r>
        <w:t xml:space="preserve">unrealistic assumption to hold against real-world data, implying that</w:t>
      </w:r>
      <w:r>
        <w:t xml:space="preserve"> </w:t>
      </w:r>
      <w:r>
        <w:t xml:space="preserve">other estimates of score reliability, such as McDonald’s Omega</w:t>
      </w:r>
      <w:r>
        <w:t xml:space="preserve"> </w:t>
      </w:r>
      <w:r>
        <w:t xml:space="preserve">(reference), Guttman’s Lambda 2 or 4 (reference), or the Greatest Lower</w:t>
      </w:r>
      <w:r>
        <w:t xml:space="preserve"> </w:t>
      </w:r>
      <w:r>
        <w:t xml:space="preserve">Bound (reference) might be better suited. However, all scales employed</w:t>
      </w:r>
      <w:r>
        <w:t xml:space="preserve"> </w:t>
      </w:r>
      <w:r>
        <w:t xml:space="preserve">in this project are scored by computing the simple mean or sum of</w:t>
      </w:r>
      <w:r>
        <w:t xml:space="preserve"> </w:t>
      </w:r>
      <w:r>
        <w:t xml:space="preserve">responses across items for each individual. Computing the mean or sum of</w:t>
      </w:r>
      <w:r>
        <w:t xml:space="preserve"> </w:t>
      </w:r>
      <w:r>
        <w:t xml:space="preserve">several items implicitly assumes tau-equivalence, as each item</w:t>
      </w:r>
      <w:r>
        <w:t xml:space="preserve"> </w:t>
      </w:r>
      <w:r>
        <w:t xml:space="preserve">contributes equally to the individual’s test score. Therefore,</w:t>
      </w:r>
      <w:r>
        <w:t xml:space="preserve"> </w:t>
      </w:r>
      <w:r>
        <w:t xml:space="preserve">Cronbach’s Alpha is the better choice to estimate score reliability, as</w:t>
      </w:r>
      <w:r>
        <w:t xml:space="preserve"> </w:t>
      </w:r>
      <w:r>
        <w:t xml:space="preserve">it avoids a mismatch in assumptions between how the score is computed</w:t>
      </w:r>
      <w:r>
        <w:t xml:space="preserve"> </w:t>
      </w:r>
      <w:r>
        <w:t xml:space="preserve">and how score reliability is estimated. Using these estimates of</w:t>
      </w:r>
      <w:r>
        <w:t xml:space="preserve"> </w:t>
      </w:r>
      <w:r>
        <w:t xml:space="preserve">Cronbach’s Alpha, the individual estimates of Cohen’s d are corrected,</w:t>
      </w:r>
      <w:r>
        <w:t xml:space="preserve"> </w:t>
      </w:r>
      <w:r>
        <w:t xml:space="preserve">according to</w:t>
      </w:r>
      <w:r>
        <w:t xml:space="preserve"> </w:t>
      </w:r>
      <w:hyperlink w:anchor="eq-dc">
        <w:r>
          <w:rPr>
            <w:rStyle w:val="Hyperlink"/>
          </w:rPr>
          <w:t xml:space="preserve">Equation 4</w:t>
        </w:r>
      </w:hyperlink>
      <w:r>
        <w:t xml:space="preserve">, including the corrected standard errors (</w:t>
      </w:r>
      <w:hyperlink w:anchor="eq-SEdc">
        <w:r>
          <w:rPr>
            <w:rStyle w:val="Hyperlink"/>
          </w:rPr>
          <w:t xml:space="preserve">Equation 6</w:t>
        </w:r>
      </w:hyperlink>
      <w:r>
        <w:t xml:space="preserve">).</w:t>
      </w:r>
      <w:r>
        <w:t xml:space="preserve"> </w:t>
      </w:r>
      <w:r>
        <w:t xml:space="preserve">Thereby, estimates of ES are computed, which are corrected for imperfect</w:t>
      </w:r>
      <w:r>
        <w:t xml:space="preserve"> </w:t>
      </w:r>
      <w:r>
        <w:t xml:space="preserve">reliability. Again, a random-effects meta-analysis is run using metafor,</w:t>
      </w:r>
      <w:r>
        <w:t xml:space="preserve"> </w:t>
      </w:r>
      <w:r>
        <w:t xml:space="preserve">generating an estimate of heterogeneity in corrected ES. Different</w:t>
      </w:r>
      <w:r>
        <w:t xml:space="preserve"> </w:t>
      </w:r>
      <w:r>
        <w:t xml:space="preserve">indicators of heterogeneity are readily available, such as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the coefficient of variation. However, the descriptions found in H&amp;S</w:t>
      </w:r>
      <w:r>
        <w:t xml:space="preserve"> </w:t>
      </w:r>
      <w:r>
        <w:t xml:space="preserve">and W&amp;D discuss the absolute amount of heterogeneity in terms of</w:t>
      </w:r>
      <w:r>
        <w:t xml:space="preserve"> </w:t>
      </w:r>
      <w:r>
        <w:t xml:space="preserve">variance (</w:t>
      </w:r>
      <m:oMath>
        <m:sSup>
          <m:e>
            <m:r>
              <m:t>τ</m:t>
            </m:r>
          </m:e>
          <m:sup>
            <m:r>
              <m:t>2</m:t>
            </m:r>
          </m:sup>
        </m:sSup>
      </m:oMath>
      <w:r>
        <w:t xml:space="preserve">) or standard deviation (</w:t>
      </w:r>
      <m:oMath>
        <m:r>
          <m:t>τ</m:t>
        </m:r>
      </m:oMath>
      <w:r>
        <w:t xml:space="preserve">). These parameters</w:t>
      </w:r>
      <w:r>
        <w:t xml:space="preserve"> </w:t>
      </w:r>
      <w:r>
        <w:t xml:space="preserve">discuss the variability of the standardized ES in the population in</w:t>
      </w:r>
      <w:r>
        <w:t xml:space="preserve"> </w:t>
      </w:r>
      <w:r>
        <w:t xml:space="preserve">terms of variance or standard deviation. Therefore, we also make use of</w:t>
      </w:r>
      <w:r>
        <w:t xml:space="preserve"> </w:t>
      </w:r>
      <w:r>
        <w:t xml:space="preserve">absolute heterogeneity here.</w:t>
      </w:r>
    </w:p>
    <w:p>
      <w:pPr>
        <w:pStyle w:val="BodyText"/>
      </w:pPr>
      <w:r>
        <w:t xml:space="preserve">Subsequently, in order to assess whether ES heterogeneity was indeed</w:t>
      </w:r>
      <w:r>
        <w:t xml:space="preserve"> </w:t>
      </w:r>
      <w:r>
        <w:t xml:space="preserve">reduced by the attenuation correction procedure, the estimates of</w:t>
      </w:r>
      <w:r>
        <w:t xml:space="preserve"> </w:t>
      </w:r>
      <w:r>
        <w:t xml:space="preserve">heterogeneity in uncorrected ES and corrected ES are compared. Using</w:t>
      </w:r>
      <w:r>
        <w:t xml:space="preserve"> </w:t>
      </w:r>
      <w:r>
        <w:t xml:space="preserve">Cochran’s Q-test, we assess whether the estimates of heterogeneity are</w:t>
      </w:r>
      <w:r>
        <w:t xml:space="preserve"> </w:t>
      </w:r>
      <w:r>
        <w:t xml:space="preserve">statistically significantly different from 0. Only for those projects</w:t>
      </w:r>
      <w:r>
        <w:t xml:space="preserve"> </w:t>
      </w:r>
      <w:r>
        <w:t xml:space="preserve">where we have sufficient confidence that the individual estimates of</w:t>
      </w:r>
      <w:r>
        <w:t xml:space="preserve"> </w:t>
      </w:r>
      <w:r>
        <w:t xml:space="preserve">heterogeneity are larger than zero can we actually begin to interpret</w:t>
      </w:r>
      <w:r>
        <w:t xml:space="preserve"> </w:t>
      </w:r>
      <w:r>
        <w:t xml:space="preserve">whether there was any change.</w:t>
      </w:r>
    </w:p>
    <w:p>
      <w:pPr>
        <w:pStyle w:val="BodyText"/>
      </w:pPr>
      <w:r>
        <w:t xml:space="preserve">To identify whether a reduction in ES heterogeneity is indeed</w:t>
      </w:r>
      <w:r>
        <w:t xml:space="preserve"> </w:t>
      </w:r>
      <w:r>
        <w:t xml:space="preserve">accompanied by differences in score reliability, the estimates of score</w:t>
      </w:r>
      <w:r>
        <w:t xml:space="preserve"> </w:t>
      </w:r>
      <w:r>
        <w:t xml:space="preserve">reliability are assessed meta-analytically as well. To do so, a</w:t>
      </w:r>
      <w:r>
        <w:t xml:space="preserve"> </w:t>
      </w:r>
      <w:r>
        <w:t xml:space="preserve">Reliability Generalization Meta-Analysis is performed (references). This</w:t>
      </w:r>
      <w:r>
        <w:t xml:space="preserve"> </w:t>
      </w:r>
      <w:r>
        <w:t xml:space="preserve">entails that individual estimates of score reliability are adequately</w:t>
      </w:r>
      <w:r>
        <w:t xml:space="preserve"> </w:t>
      </w:r>
      <w:r>
        <w:t xml:space="preserve">transformed using Bonett’s transformation:</w:t>
      </w:r>
      <w:r>
        <w:t xml:space="preserve"> </w:t>
      </w:r>
      <m:oMath>
        <m:sSub>
          <m:e>
            <m:r>
              <m:t>T</m:t>
            </m:r>
          </m:e>
          <m:sub>
            <m:acc>
              <m:accPr>
                <m:chr m:val="̂"/>
              </m:accPr>
              <m:e>
                <m:r>
                  <m:t>ρ</m:t>
                </m:r>
              </m:e>
            </m:acc>
          </m:sub>
        </m:sSub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̂"/>
              </m:accPr>
              <m:e>
                <m:r>
                  <m:t>ρ</m:t>
                </m:r>
              </m:e>
            </m:acc>
          </m:e>
        </m:d>
      </m:oMath>
      <w:r>
        <w:t xml:space="preserve">. This transformation has</w:t>
      </w:r>
      <w:r>
        <w:t xml:space="preserve"> </w:t>
      </w:r>
      <w:r>
        <w:t xml:space="preserve">variance-stabilising properties and therefore allows for adequate</w:t>
      </w:r>
      <w:r>
        <w:t xml:space="preserve"> </w:t>
      </w:r>
      <w:r>
        <w:t xml:space="preserve">inferences concerning heterogeneity in score reliability (references).</w:t>
      </w:r>
      <w:r>
        <w:t xml:space="preserve"> </w:t>
      </w:r>
      <w:r>
        <w:t xml:space="preserve">Cochran’s Q-test is used to identify statistically significant</w:t>
      </w:r>
      <w:r>
        <w:t xml:space="preserve"> </w:t>
      </w:r>
      <w:r>
        <w:t xml:space="preserve">heterogeneity in transformed score reliability. Estimates derived from a</w:t>
      </w:r>
      <w:r>
        <w:t xml:space="preserve"> </w:t>
      </w:r>
      <w:r>
        <w:t xml:space="preserve">Reliability Generalization Meta-Analysis using these transformations can</w:t>
      </w:r>
      <w:r>
        <w:t xml:space="preserve"> </w:t>
      </w:r>
      <w:r>
        <w:t xml:space="preserve">be back-transformed to the original score reliability scale</w:t>
      </w:r>
      <w:r>
        <w:t xml:space="preserve"> </w:t>
      </w:r>
      <w:r>
        <w:t xml:space="preserve">(references):</w:t>
      </w:r>
    </w:p>
    <w:p>
      <w:pPr>
        <w:pStyle w:val="BodyText"/>
      </w:pPr>
      <w:bookmarkStart w:id="29" w:name="eq-rel_back_mu"/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ρ</m:t>
              </m:r>
              <m:r>
                <m:t>x</m:t>
              </m:r>
              <m:r>
                <m:t>x</m:t>
              </m:r>
              <m:r>
                <m:rPr>
                  <m:sty m:val="p"/>
                </m:rPr>
                <m:t>′</m:t>
              </m:r>
            </m:sub>
          </m:sSub>
          <m:r>
            <m:rPr>
              <m:sty m:val="p"/>
            </m:rPr>
            <m:t>≈</m:t>
          </m:r>
          <m:r>
            <m:t>1</m:t>
          </m:r>
          <m:r>
            <m:rPr>
              <m:sty m:val="p"/>
            </m:rPr>
            <m:t>−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X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p>
                          </m:sSup>
                        </m:sub>
                      </m:sSub>
                    </m:e>
                  </m:d>
                </m:sub>
              </m:sSub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x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</m:sub>
                      </m:sSub>
                    </m:e>
                  </m:d>
                </m:sub>
              </m:sSub>
            </m:e>
          </m:d>
          <m:sSubSup>
            <m:e>
              <m:r>
                <m:t>τ</m:t>
              </m:r>
            </m:e>
            <m:sub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X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</m:sub>
                  </m:sSub>
                </m:e>
              </m:d>
            </m:sub>
            <m:sup>
              <m:r>
                <m:t>2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29"/>
    </w:p>
    <w:p>
      <w:pPr>
        <w:pStyle w:val="FirstParagraph"/>
      </w:pPr>
      <w:bookmarkStart w:id="30" w:name="eq-rel_back_tau"/>
      <m:oMathPara>
        <m:oMathParaPr>
          <m:jc m:val="center"/>
        </m:oMathParaPr>
        <m:oMath>
          <m:sSubSup>
            <m:e>
              <m:r>
                <m:t>τ</m:t>
              </m:r>
            </m:e>
            <m:sub>
              <m:sSub>
                <m:e>
                  <m:r>
                    <m:t>ρ</m:t>
                  </m:r>
                </m:e>
                <m:sub>
                  <m:r>
                    <m:t>x</m:t>
                  </m:r>
                  <m:r>
                    <m:t>x</m:t>
                  </m:r>
                  <m:r>
                    <m:rPr>
                      <m:sty m:val="p"/>
                    </m:rPr>
                    <m:t>′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≈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T</m:t>
                  </m:r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x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′</m:t>
                          </m:r>
                        </m:sub>
                      </m:sSub>
                    </m:e>
                  </m:d>
                </m:sub>
              </m:sSub>
            </m:e>
          </m:d>
          <m:r>
            <m:t>2</m:t>
          </m:r>
          <m:sSubSup>
            <m:e>
              <m:r>
                <m:t>τ</m:t>
              </m:r>
            </m:e>
            <m:sub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</m:sub>
                  </m:sSub>
                </m:e>
              </m:d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e</m:t>
          </m:r>
          <m:r>
            <m:t>x</m:t>
          </m:r>
          <m:r>
            <m:t>p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T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ρ</m:t>
                              </m:r>
                            </m:e>
                            <m:sub>
                              <m:r>
                                <m:t>x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b>
                          </m:sSub>
                        </m:e>
                      </m:d>
                    </m:sub>
                  </m:sSub>
                </m:e>
              </m:d>
            </m:e>
            <m:sup>
              <m:r>
                <m:t>2</m:t>
              </m:r>
            </m:sup>
          </m:sSup>
          <m:sSubSup>
            <m:e>
              <m:r>
                <m:t>τ</m:t>
              </m:r>
            </m:e>
            <m:sub>
              <m:r>
                <m:t>T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ρ</m:t>
                      </m:r>
                    </m:e>
                    <m:sub>
                      <m:r>
                        <m:t>x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′</m:t>
                      </m:r>
                    </m:sub>
                  </m:sSub>
                </m:e>
              </m:d>
            </m:sub>
            <m:sup>
              <m:r>
                <m:t>4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8</m:t>
              </m:r>
            </m:e>
          </m:d>
        </m:oMath>
      </m:oMathPara>
      <w:bookmarkEnd w:id="30"/>
    </w:p>
    <w:p>
      <w:pPr>
        <w:pStyle w:val="FirstParagraph"/>
      </w:pPr>
      <w:r>
        <w:t xml:space="preserve">These procedures are followed separately for each phenomenon. The</w:t>
      </w:r>
      <w:r>
        <w:t xml:space="preserve"> </w:t>
      </w:r>
      <w:r>
        <w:t xml:space="preserve">statistical programming language R, Version X.XXX (reference) is used</w:t>
      </w:r>
      <w:r>
        <w:t xml:space="preserve"> </w:t>
      </w:r>
      <w:r>
        <w:t xml:space="preserve">for all data manipulation and statistical analysis.</w:t>
      </w:r>
    </w:p>
    <w:bookmarkEnd w:id="31"/>
    <w:bookmarkStart w:id="39" w:name="results"/>
    <w:p>
      <w:pPr>
        <w:pStyle w:val="Heading3"/>
      </w:pPr>
      <w:r>
        <w:t xml:space="preserve">Results</w:t>
      </w:r>
    </w:p>
    <w:p>
      <w:pPr>
        <w:pStyle w:val="FirstParagraph"/>
      </w:pPr>
      <w:hyperlink w:anchor="eq-d">
        <w:r>
          <w:rPr>
            <w:rStyle w:val="Hyperlink"/>
          </w:rPr>
          <w:t xml:space="preserve">Equations 1</w:t>
        </w:r>
      </w:hyperlink>
      <w:r>
        <w:t xml:space="preserve">,</w:t>
      </w:r>
      <w:r>
        <w:t xml:space="preserve"> </w:t>
      </w:r>
      <w:hyperlink w:anchor="eq-SEd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eq-dc">
        <w:r>
          <w:rPr>
            <w:rStyle w:val="Hyperlink"/>
          </w:rPr>
          <w:t xml:space="preserve">4</w:t>
        </w:r>
      </w:hyperlink>
      <w:r>
        <w:t xml:space="preserve">, and</w:t>
      </w:r>
      <w:r>
        <w:t xml:space="preserve"> </w:t>
      </w:r>
      <w:hyperlink w:anchor="eq-SEdc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were used to</w:t>
      </w:r>
      <w:r>
        <w:t xml:space="preserve"> </w:t>
      </w:r>
      <w:r>
        <w:t xml:space="preserve">generate estimates of standardized ES, both uncorrected and corrected,</w:t>
      </w:r>
      <w:r>
        <w:t xml:space="preserve"> </w:t>
      </w:r>
      <w:r>
        <w:t xml:space="preserve">with their corresponding standard errors. Generally, this leads to</w:t>
      </w:r>
      <w:r>
        <w:t xml:space="preserve"> </w:t>
      </w:r>
      <w:r>
        <w:t xml:space="preserve">larger (absolute) ES and larger standard errors. As an example from the</w:t>
      </w:r>
      <w:r>
        <w:t xml:space="preserve"> </w:t>
      </w:r>
      <w:r>
        <w:t xml:space="preserve">12 selected phenomena, the results from this procedure on Nosek’s</w:t>
      </w:r>
      <w:r>
        <w:t xml:space="preserve"> </w:t>
      </w:r>
      <w:r>
        <w:t xml:space="preserve">Explicit Art sex differences phenomenon are displayed in the forest plot</w:t>
      </w:r>
      <w:r>
        <w:t xml:space="preserve"> </w:t>
      </w:r>
      <w:r>
        <w:t xml:space="preserve">in Figure 1. Here, grey dots represent the uncorrected ES for each</w:t>
      </w:r>
      <w:r>
        <w:t xml:space="preserve"> </w:t>
      </w:r>
      <w:r>
        <w:t xml:space="preserve">sample, while black dots represent the corrected ES in each sample. The</w:t>
      </w:r>
      <w:r>
        <w:t xml:space="preserve"> </w:t>
      </w:r>
      <w:r>
        <w:t xml:space="preserve">bars surrounding these dots show the respective 95%-Cis.</w:t>
      </w:r>
    </w:p>
    <w:p>
      <w:pPr>
        <w:pStyle w:val="BodyText"/>
      </w:pPr>
      <w:r>
        <w:t xml:space="preserve">In</w:t>
      </w:r>
      <w:r>
        <w:t xml:space="preserve"> </w:t>
      </w:r>
      <w:hyperlink w:anchor="fig-fore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it becomes apparent that the reliability attenuation</w:t>
      </w:r>
      <w:r>
        <w:t xml:space="preserve"> </w:t>
      </w:r>
      <w:r>
        <w:t xml:space="preserve">procedure leads to an increase in the individual absolute effect size,</w:t>
      </w:r>
      <w:r>
        <w:t xml:space="preserve"> </w:t>
      </w:r>
      <w:r>
        <w:t xml:space="preserve">as the black dots are moved further away from zero. Simultaneously, the</w:t>
      </w:r>
      <w:r>
        <w:t xml:space="preserve"> </w:t>
      </w:r>
      <w:r>
        <w:t xml:space="preserve">standard errors grew larger after the attenuation correction, which</w:t>
      </w:r>
      <w:r>
        <w:t xml:space="preserve"> </w:t>
      </w:r>
      <w:r>
        <w:t xml:space="preserve">leads to larger 95%-CIs. This is most easily observed for the</w:t>
      </w:r>
      <w:r>
        <w:t xml:space="preserve"> </w:t>
      </w:r>
      <w:r>
        <w:t xml:space="preserve">mturk-sample, which already had a rather large confidence interval to</w:t>
      </w:r>
      <w:r>
        <w:t xml:space="preserve"> </w:t>
      </w:r>
      <w:r>
        <w:t xml:space="preserve">begin with. Additionally, in the diamond at the bottom of the figure, we</w:t>
      </w:r>
      <w:r>
        <w:t xml:space="preserve"> </w:t>
      </w:r>
      <w:r>
        <w:t xml:space="preserve">can see that the meta-analytic estimate mean ES is also larger after the</w:t>
      </w:r>
      <w:r>
        <w:t xml:space="preserve"> </w:t>
      </w:r>
      <w:r>
        <w:t xml:space="preserve">attenuation correction took place. In</w:t>
      </w:r>
      <w:r>
        <w:t xml:space="preserve"> </w:t>
      </w:r>
      <w:hyperlink w:anchor="tbl-meanES">
        <w:r>
          <w:rPr>
            <w:rStyle w:val="Hyperlink"/>
          </w:rPr>
          <w:t xml:space="preserve">Table 1</w:t>
        </w:r>
      </w:hyperlink>
      <w:r>
        <w:t xml:space="preserve">, the estimates and</w:t>
      </w:r>
      <w:r>
        <w:t xml:space="preserve"> </w:t>
      </w:r>
      <w:r>
        <w:t xml:space="preserve">tests on the meta-analytic average ES, both corrected and uncorrected,</w:t>
      </w:r>
      <w:r>
        <w:t xml:space="preserve"> </w:t>
      </w:r>
      <w:r>
        <w:t xml:space="preserve">can be found.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forest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Manuscript_MD_ScoreReLiability_files/figure-docx/fig-fores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Forest Plot Nosek_Explicit_Art</w:t>
            </w:r>
          </w:p>
          <w:bookmarkEnd w:id="35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mean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Meta-analytic average 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508"/>
              <w:gridCol w:w="1303"/>
              <w:gridCol w:w="902"/>
              <w:gridCol w:w="1303"/>
              <w:gridCol w:w="90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MASC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mu_str_raw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pval_raw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mu_str_cor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pval_cor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Albarracin_Priming_SAT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.127 (.053)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.016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.158 (.066)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Alter_Analytic_Processing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-.155 (.040)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-.174 (.044)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Carter_Flag_Priming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.018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.538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.026 (.036)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Caruso_Currency_Priming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-.019 (.026)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-.022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.459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Finkel_Exit_Forgiveness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-.050 (.049)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-.056 (.056)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Finkel_Neglect_Forgiveness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-.051 (.055)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.355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-.059 (.063)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Giessner_Vertical_Position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.026 (.023)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.248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.027 (.025)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.267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Hart_Criminal_Intentionality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.170 (.078)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.184 (.085)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.030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Hart_Detailed_Processing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.082 (.058)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.096 (.067)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Hart_Intention_Attribution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-.011 (.058)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.856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-.021 (.080)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.795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Husnu_Imagined_Contact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.116 (.032)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.129 (.035)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Nosek_Explicit_Art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.360 (.047)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.383 (.050)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Nosek_Explicit_Math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.401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.415 (.030)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PSACR001_anxiety_int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.251 (.022)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.263 (.023)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PSACR001_behav_int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.035 (.020)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.040 (.023)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.088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PSACR002_neg_photo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-.663 (.040)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-.747 (.047)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-.533 (.101)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-.582 (.109)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Shnabel_Willingness_Reconcile_RPP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-.585 (.062)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-.655 (.067)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Srull_Behaviour_Hostility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-.051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-.062 (.034)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Srull_Ronald_Hostility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.063 (.029)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.074 (.033)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.026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Tversky_Directionality_Similarity1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-.111 (.034)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-.121 (.037)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Zhong_Desirability_Cleaning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-.031 (.024)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.194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-.042 (.036)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.240</w:t>
                  </w:r>
                </w:p>
              </w:tc>
            </w:tr>
          </w:tbl>
          <w:bookmarkEnd w:id="36"/>
          <w:p/>
        </w:tc>
      </w:tr>
    </w:tbl>
    <w:p>
      <w:pPr>
        <w:pStyle w:val="BodyText"/>
      </w:pPr>
      <w:hyperlink w:anchor="tbl-mean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demonstrates that what we observed in Figure 1 holds across</w:t>
      </w:r>
      <w:r>
        <w:t xml:space="preserve"> </w:t>
      </w:r>
      <w:r>
        <w:t xml:space="preserve">all 22 phenomena. All meta-analytic effect sizes are larger after</w:t>
      </w:r>
      <w:r>
        <w:t xml:space="preserve"> </w:t>
      </w:r>
      <w:r>
        <w:t xml:space="preserve">applying an attenuation correction procedure. Similarly, the uncertainty</w:t>
      </w:r>
      <w:r>
        <w:t xml:space="preserve"> </w:t>
      </w:r>
      <w:r>
        <w:t xml:space="preserve">quantified in the estimates’ standard error is larger. Additionally,</w:t>
      </w:r>
      <w:r>
        <w:t xml:space="preserve"> </w:t>
      </w:r>
      <w:hyperlink w:anchor="tbl-mean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highlights which phenomena pass criterion (3) – the effect</w:t>
      </w:r>
      <w:r>
        <w:t xml:space="preserve"> </w:t>
      </w:r>
      <w:r>
        <w:t xml:space="preserve">size must be statistically significantly distinguishable from zero. 12</w:t>
      </w:r>
      <w:r>
        <w:t xml:space="preserve"> </w:t>
      </w:r>
      <w:r>
        <w:t xml:space="preserve">phenomena pass this criterion, highlighted in boldface. It may be</w:t>
      </w:r>
      <w:r>
        <w:t xml:space="preserve"> </w:t>
      </w:r>
      <w:r>
        <w:t xml:space="preserve">remarked that the attenuation correction procedure, in this data,</w:t>
      </w:r>
      <w:r>
        <w:t xml:space="preserve"> </w:t>
      </w:r>
      <w:r>
        <w:t xml:space="preserve">appears to have no influence on whether a phenomenon passes the</w:t>
      </w:r>
      <w:r>
        <w:t xml:space="preserve"> </w:t>
      </w:r>
      <w:r>
        <w:t xml:space="preserve">criterion. The differences in p-value are rather small and lead to no</w:t>
      </w:r>
      <w:r>
        <w:t xml:space="preserve"> </w:t>
      </w:r>
      <w:r>
        <w:t xml:space="preserve">difference in conclusion, regarding a significance level of .05.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tbl-tau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Tests for ES Heterogeneity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980"/>
              <w:gridCol w:w="681"/>
              <w:gridCol w:w="1107"/>
              <w:gridCol w:w="681"/>
              <w:gridCol w:w="681"/>
              <w:gridCol w:w="1107"/>
              <w:gridCol w:w="68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MASC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tau_raw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QE_raw_str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QEp_raw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tau_cor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QE_cor_str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QEp_cor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Albarracin_Priming_SAT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5.987 (8)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6.055 (8)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Alter_Analytic_Processing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15.706 (20)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0.735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15.701 (20)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0.735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Hart_Criminal_Intentionality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18.96 (11)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0.062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18.81 (11)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Husnu_Imagined_Contact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47.581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0.094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47.351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0.079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Nosek_Explicit_Art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62.771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63.074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Nosek_Explicit_Math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39.169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0.288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39.107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PSACR001_anxiety_int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74.655 (48)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74.251 (48)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PSACR002_neg_photo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0.220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219.709 (36)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0.260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237.115 (36)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Shnabel_Willingness_Reconcile_Rev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23.367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23.182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Shnabel_Willingness_Reconcile_RPP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8.472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8.244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Srull_Ronald_Hostility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24.756 (21)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24.593 (21)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Tversky_Directionality_Similarity1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59.434 (60)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0.496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59.102 (60)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0.509</w:t>
                  </w:r>
                </w:p>
              </w:tc>
            </w:tr>
          </w:tbl>
          <w:bookmarkEnd w:id="37"/>
          <w:p/>
        </w:tc>
      </w:tr>
    </w:tbl>
    <w:p>
      <w:pPr>
        <w:pStyle w:val="BodyText"/>
      </w:pPr>
      <w:r>
        <w:t xml:space="preserve">Cases incompatible with claims made in W&amp;D and H&amp;S are highlighted using</w:t>
      </w:r>
      <w:r>
        <w:t xml:space="preserve"> </w:t>
      </w:r>
      <w:r>
        <w:t xml:space="preserve">boldface.</w:t>
      </w:r>
    </w:p>
    <w:p>
      <w:pPr>
        <w:pStyle w:val="BodyText"/>
      </w:pPr>
      <w:r>
        <w:t xml:space="preserve">However, what</w:t>
      </w:r>
      <w:r>
        <w:t xml:space="preserve"> </w:t>
      </w:r>
      <w:hyperlink w:anchor="fig-fore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mean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can not inform us about is in</w:t>
      </w:r>
      <w:r>
        <w:t xml:space="preserve"> </w:t>
      </w:r>
      <w:r>
        <w:t xml:space="preserve">how far the heterogeneity has changed after correcting for</w:t>
      </w:r>
      <w:r>
        <w:t xml:space="preserve"> </w:t>
      </w:r>
      <w:r>
        <w:t xml:space="preserve">(un)reliability. In</w:t>
      </w:r>
      <w:r>
        <w:t xml:space="preserve"> </w:t>
      </w:r>
      <w:hyperlink w:anchor="tbl-tauES">
        <w:r>
          <w:rPr>
            <w:rStyle w:val="Hyperlink"/>
          </w:rPr>
          <w:t xml:space="preserve">Table 2</w:t>
        </w:r>
      </w:hyperlink>
      <w:r>
        <w:t xml:space="preserve">, the estimates and tests of heterogeneity</w:t>
      </w:r>
      <w:r>
        <w:t xml:space="preserve"> </w:t>
      </w:r>
      <w:r>
        <w:t xml:space="preserve">concerning uncorrected and corrected ES on the 12 remaining phenomena,</w:t>
      </w:r>
      <w:r>
        <w:t xml:space="preserve"> </w:t>
      </w:r>
      <w:r>
        <w:t xml:space="preserve">which passed all criteria (1) – (3), can be found. In the table, the</w:t>
      </w:r>
      <w:r>
        <w:t xml:space="preserve"> </w:t>
      </w:r>
      <w:r>
        <w:t xml:space="preserve">estimate of heterogeneity</w:t>
      </w:r>
      <w:r>
        <w:t xml:space="preserve"> </w:t>
      </w:r>
      <m:oMath>
        <m:r>
          <m:t>τ</m:t>
        </m:r>
      </m:oMath>
      <w:r>
        <w:t xml:space="preserve">, with the accompanying QE-test</w:t>
      </w:r>
      <w:r>
        <w:t xml:space="preserve"> </w:t>
      </w:r>
      <w:r>
        <w:t xml:space="preserve">statistic, degrees of freedom and its p-value are reported, separately</w:t>
      </w:r>
      <w:r>
        <w:t xml:space="preserve"> </w:t>
      </w:r>
      <w:r>
        <w:t xml:space="preserve">for uncorrected and corrected ES.</w:t>
      </w:r>
    </w:p>
    <w:p>
      <w:pPr>
        <w:pStyle w:val="BodyText"/>
      </w:pPr>
      <w:r>
        <w:t xml:space="preserve">Most importantly,</w:t>
      </w:r>
      <w:r>
        <w:t xml:space="preserve"> </w:t>
      </w:r>
      <w:hyperlink w:anchor="tbl-tau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demonstrates that of 12 phenomena assessed,</w:t>
      </w:r>
      <w:r>
        <w:t xml:space="preserve"> </w:t>
      </w:r>
      <w:r>
        <w:t xml:space="preserve">for seven phenomena we find patterns incompatible with claims made in</w:t>
      </w:r>
      <w:r>
        <w:t xml:space="preserve"> </w:t>
      </w:r>
      <w:r>
        <w:t xml:space="preserve">W&amp;D and H&amp;S. For those seven phenomena, the reliability attenuation</w:t>
      </w:r>
      <w:r>
        <w:t xml:space="preserve"> </w:t>
      </w:r>
      <w:r>
        <w:t xml:space="preserve">correction led to an increase in absolute ES heterogeneity</w:t>
      </w:r>
      <w:r>
        <w:t xml:space="preserve"> </w:t>
      </w:r>
      <m:oMath>
        <m:r>
          <m:t>τ</m:t>
        </m:r>
      </m:oMath>
      <w:r>
        <w:t xml:space="preserve">. For</w:t>
      </w:r>
      <w:r>
        <w:t xml:space="preserve"> </w:t>
      </w:r>
      <w:r>
        <w:t xml:space="preserve">the remaining five phenomena, estimates of ES heterogeneity were zero</w:t>
      </w:r>
      <w:r>
        <w:t xml:space="preserve"> </w:t>
      </w:r>
      <w:r>
        <w:t xml:space="preserve">before and after the correction procedure, leading to no change at all.</w:t>
      </w:r>
      <w:r>
        <w:t xml:space="preserve"> </w:t>
      </w:r>
      <w:r>
        <w:t xml:space="preserve">This leaves three phenomena where the attenuation correction did indeed</w:t>
      </w:r>
      <w:r>
        <w:t xml:space="preserve"> </w:t>
      </w:r>
      <w:r>
        <w:t xml:space="preserve">lead to a reduction of heterogeneity. However, it is crucial to note</w:t>
      </w:r>
      <w:r>
        <w:t xml:space="preserve"> </w:t>
      </w:r>
      <w:r>
        <w:t xml:space="preserve">that the hypothesis tests identified statistically significant</w:t>
      </w:r>
      <w:r>
        <w:t xml:space="preserve"> </w:t>
      </w:r>
      <w:r>
        <w:t xml:space="preserve">heterogeneity in only four out of 12 phenomena and for none of those a</w:t>
      </w:r>
      <w:r>
        <w:t xml:space="preserve"> </w:t>
      </w:r>
      <w:r>
        <w:t xml:space="preserve">reduction in heterogeneity took place. In all four cases of</w:t>
      </w:r>
      <w:r>
        <w:t xml:space="preserve"> </w:t>
      </w:r>
      <w:r>
        <w:t xml:space="preserve">statistically significant heterogeneity, the attenuation correction</w:t>
      </w:r>
      <w:r>
        <w:t xml:space="preserve"> </w:t>
      </w:r>
      <w:r>
        <w:t xml:space="preserve">procedure led to an increase in heterogeneity, contrary to the W&amp;D and</w:t>
      </w:r>
      <w:r>
        <w:t xml:space="preserve"> </w:t>
      </w:r>
      <w:r>
        <w:t xml:space="preserve">H&amp;S predictions.</w:t>
      </w:r>
    </w:p>
    <w:p>
      <w:pPr>
        <w:pStyle w:val="BodyText"/>
      </w:pPr>
      <w:r>
        <w:t xml:space="preserve">To make sure that actual differences in score reliability exist,</w:t>
      </w:r>
      <w:r>
        <w:t xml:space="preserve"> </w:t>
      </w:r>
      <w:r>
        <w:t xml:space="preserve">heterogeneity in score reliability is assessed, making use of</w:t>
      </w:r>
      <w:r>
        <w:t xml:space="preserve"> </w:t>
      </w:r>
      <w:r>
        <w:t xml:space="preserve">Reliability Generalization Meta-Analysis (reference).</w:t>
      </w:r>
      <w:r>
        <w:t xml:space="preserve"> </w:t>
      </w:r>
      <w:hyperlink w:anchor="tbl-RGMA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summarises the results across all 12 phenomena. Overall, scales for</w:t>
      </w:r>
      <w:r>
        <w:t xml:space="preserve"> </w:t>
      </w:r>
      <w:r>
        <w:t xml:space="preserve">almost all phenomena appear have produced scores with an average score</w:t>
      </w:r>
      <w:r>
        <w:t xml:space="preserve"> </w:t>
      </w:r>
      <w:r>
        <w:t xml:space="preserve">reliability larger than .7. Only two phenomena (Albarracin_Priming_SAT</w:t>
      </w:r>
      <w:r>
        <w:t xml:space="preserve"> </w:t>
      </w:r>
      <w:r>
        <w:t xml:space="preserve">and Alter_Analytic_Processing) come with lower score reliability.</w:t>
      </w:r>
      <w:r>
        <w:t xml:space="preserve"> </w:t>
      </w:r>
      <w:r>
        <w:t xml:space="preserve">However, for those phenomena we could not identify statistically</w:t>
      </w:r>
      <w:r>
        <w:t xml:space="preserve"> </w:t>
      </w:r>
      <w:r>
        <w:t xml:space="preserve">significant heterogeneity in effect sizes in</w:t>
      </w:r>
      <w:r>
        <w:t xml:space="preserve"> </w:t>
      </w:r>
      <w:hyperlink w:anchor="tbl-meanE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in the first</w:t>
      </w:r>
      <w:r>
        <w:t xml:space="preserve"> </w:t>
      </w:r>
      <w:r>
        <w:t xml:space="preserve">place. From the phenomena where the ES heterogeneity grew larger as a</w:t>
      </w:r>
      <w:r>
        <w:t xml:space="preserve"> </w:t>
      </w:r>
      <w:r>
        <w:t xml:space="preserve">result from the attenuation correction procedure, for six out of seven</w:t>
      </w:r>
      <w:r>
        <w:t xml:space="preserve"> </w:t>
      </w:r>
      <w:r>
        <w:t xml:space="preserve">phenomena, we observe statistically significant heterogeneity in score</w:t>
      </w:r>
      <w:r>
        <w:t xml:space="preserve"> </w:t>
      </w:r>
      <w:r>
        <w:t xml:space="preserve">reliability. Only the Shnabel_Willingness_Reconcile_Rev project produced</w:t>
      </w:r>
      <w:r>
        <w:t xml:space="preserve"> </w:t>
      </w:r>
      <w:r>
        <w:t xml:space="preserve">scores where no heterogeneity in score reliability was identified.</w:t>
      </w:r>
      <w:r>
        <w:t xml:space="preserve"> </w:t>
      </w:r>
      <w:r>
        <w:t xml:space="preserve">However, for this project, it is crucial to note that only a small</w:t>
      </w:r>
      <w:r>
        <w:t xml:space="preserve"> </w:t>
      </w:r>
      <w:r>
        <w:t xml:space="preserve">number of replications (8), was available for analysis. Since the power</w:t>
      </w:r>
      <w:r>
        <w:t xml:space="preserve"> </w:t>
      </w:r>
      <w:r>
        <w:t xml:space="preserve">of Cochran’s Q-test for heterogeneity largely depends on the number of</w:t>
      </w:r>
      <w:r>
        <w:t xml:space="preserve"> </w:t>
      </w:r>
      <w:r>
        <w:t xml:space="preserve">replications, this result is inconclusive.</w:t>
      </w:r>
    </w:p>
    <w:p>
      <w:pPr>
        <w:pStyle w:val="BodyText"/>
      </w:pPr>
      <w:r>
        <w:t xml:space="preserve">Despite this one inconclusive result, for the majority of phenomena</w:t>
      </w:r>
      <w:r>
        <w:t xml:space="preserve"> </w:t>
      </w:r>
      <w:r>
        <w:t xml:space="preserve">where ES heterogeneity is larger after applying an attenuation</w:t>
      </w:r>
      <w:r>
        <w:t xml:space="preserve"> </w:t>
      </w:r>
      <w:r>
        <w:t xml:space="preserve">correction, a lack of differences in score reliability can not be made</w:t>
      </w:r>
      <w:r>
        <w:t xml:space="preserve"> </w:t>
      </w:r>
      <w:r>
        <w:t xml:space="preserve">responsible for results contrary to claims made in W&amp;D and H&amp;S. All</w:t>
      </w:r>
      <w:r>
        <w:t xml:space="preserve"> </w:t>
      </w:r>
      <w:r>
        <w:t xml:space="preserve">seven phenomena came with an average score reliability from .74 to .9</w:t>
      </w:r>
      <w:r>
        <w:t xml:space="preserve"> </w:t>
      </w:r>
      <w:r>
        <w:t xml:space="preserve">and for six out of seven phenomena we identified statistically</w:t>
      </w:r>
      <w:r>
        <w:t xml:space="preserve"> </w:t>
      </w:r>
      <w:r>
        <w:t xml:space="preserve">significant heterogeneity in score reliability.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RGMA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Reliability Generalization Meta-Analysis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300"/>
              <w:gridCol w:w="1885"/>
              <w:gridCol w:w="942"/>
              <w:gridCol w:w="1225"/>
              <w:gridCol w:w="565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MASC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mu_alpha_str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tau_alpha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QE_str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QEp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Albarracin_Priming_SAT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0.61 [0.557:0.657]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26.019 (8)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Alter_Analytic_Processing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0.64 [0.604:0.673]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38.384 (20)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Hart_Criminal_Intentionality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0.849 [0.811:0.879]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66.17 (11)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Husnu_Imagined_Contact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0.814 [0.802:0.825]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66.389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Nosek_Explicit_Art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0.881 [0.869:0.891]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142.551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Nosek_Explicit_Math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0.936 [0.932:0.939]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59.43 (35)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PSACR001_anxiety_int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0.903 [0.89:0.914]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494.822 (48)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PSACR002_neg_photo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0.791 [0.774:0.806]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350.852 (36)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0.832 [0.818:0.845]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5.053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.653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Shnabel_Willingness_Reconcile_RPP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0.768 [0.737:0.796]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0.032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17.535 (7)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.014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Srull_Ronald_Hostility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0.739 [0.716:0.76]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91.722 (21)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Tversky_Directionality_Similarity1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0.854 [0.841:0.866]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164.933 (60)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&lt;.001</w:t>
                  </w:r>
                </w:p>
              </w:tc>
            </w:tr>
          </w:tbl>
          <w:bookmarkEnd w:id="38"/>
          <w:p/>
        </w:tc>
      </w:tr>
    </w:tbl>
    <w:bookmarkEnd w:id="39"/>
    <w:bookmarkEnd w:id="40"/>
    <w:bookmarkStart w:id="61" w:name="X278573c51ca639e08483aa94fa59aded59df634"/>
    <w:p>
      <w:pPr>
        <w:pStyle w:val="Heading2"/>
      </w:pPr>
      <w:r>
        <w:t xml:space="preserve">Alternative discussion of how score reliability affects ES heterogeneity</w:t>
      </w:r>
    </w:p>
    <w:p>
      <w:pPr>
        <w:pStyle w:val="FirstParagraph"/>
      </w:pPr>
      <w:r>
        <w:t xml:space="preserve">In this section, we explore some facets on why we disagree with claims</w:t>
      </w:r>
      <w:r>
        <w:t xml:space="preserve"> </w:t>
      </w:r>
      <w:r>
        <w:t xml:space="preserve">stated in W&amp;D and H&amp;S. Additionally, we explore some alternative</w:t>
      </w:r>
      <w:r>
        <w:t xml:space="preserve"> </w:t>
      </w:r>
      <w:r>
        <w:t xml:space="preserve">explanations that might help understand why correcting ES for score</w:t>
      </w:r>
      <w:r>
        <w:t xml:space="preserve"> </w:t>
      </w:r>
      <w:r>
        <w:t xml:space="preserve">reliability does not lead to an inevitable reduction in heterogeneity.</w:t>
      </w:r>
    </w:p>
    <w:bookmarkStart w:id="46" w:name="X0095f3ac3ae6ce9438af1897540b91275bb35c9"/>
    <w:p>
      <w:pPr>
        <w:pStyle w:val="Heading3"/>
      </w:pPr>
      <w:r>
        <w:t xml:space="preserve">Misinterpreted equation in Hunter &amp; Schmidt (XXXX)</w:t>
      </w:r>
    </w:p>
    <w:p>
      <w:pPr>
        <w:pStyle w:val="FirstParagraph"/>
      </w:pPr>
      <w:r>
        <w:t xml:space="preserve">Hunter &amp; Schmidt claim to have derived an equation which demonstrates</w:t>
      </w:r>
      <w:r>
        <w:t xml:space="preserve"> </w:t>
      </w:r>
      <w:r>
        <w:t xml:space="preserve">how heterogeneity in score reliability inflates heterogeneity in ESs.</w:t>
      </w:r>
      <w:r>
        <w:t xml:space="preserve"> </w:t>
      </w:r>
      <w:r>
        <w:t xml:space="preserve">“</w:t>
      </w:r>
      <w:r>
        <w:t xml:space="preserve">If the level of reliability is independent of the true effect size</w:t>
      </w:r>
      <w:r>
        <w:t xml:space="preserve"> </w:t>
      </w:r>
      <w:r>
        <w:t xml:space="preserve">across studies, then, to a close approximation:</w:t>
      </w:r>
      <w:r>
        <w:t xml:space="preserve">”</w:t>
      </w:r>
      <w:r>
        <w:t xml:space="preserve"> </w:t>
      </w:r>
      <w:r>
        <w:t xml:space="preserve">(p. 309)</w:t>
      </w:r>
    </w:p>
    <w:p>
      <w:pPr>
        <w:pStyle w:val="BodyText"/>
      </w:pPr>
      <w:bookmarkStart w:id="41" w:name="eq-HS"/>
      <m:oMathPara>
        <m:oMathParaPr>
          <m:jc m:val="center"/>
        </m:oMathParaPr>
        <m:oMath>
          <m:sSubSup>
            <m:e>
              <m:r>
                <m:t>τ</m:t>
              </m:r>
            </m:e>
            <m:sub>
              <m:sSub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sSub>
                        <m:e>
                          <m:r>
                            <m:t>ρ</m:t>
                          </m:r>
                        </m:e>
                        <m:sub>
                          <m:r>
                            <m:t>x</m:t>
                          </m:r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‘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m:t>2</m:t>
              </m:r>
            </m:sup>
          </m:sSup>
          <m:sSubSup>
            <m:e>
              <m:r>
                <m:t>τ</m:t>
              </m:r>
            </m:e>
            <m:sub>
              <m:r>
                <m:t>δ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δ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  <m:sSubSup>
            <m:e>
              <m:r>
                <m:t>τ</m:t>
              </m:r>
            </m:e>
            <m:sub>
              <m:sSub>
                <m:e>
                  <m:r>
                    <m:t>ρ</m:t>
                  </m:r>
                </m:e>
                <m:sub>
                  <m:r>
                    <m:t>x</m:t>
                  </m:r>
                  <m:r>
                    <m:t>x</m:t>
                  </m:r>
                  <m:r>
                    <m:rPr>
                      <m:sty m:val="p"/>
                    </m:rPr>
                    <m:t>‘</m:t>
                  </m:r>
                </m:sub>
              </m:sSub>
            </m:sub>
            <m:sup>
              <m:r>
                <m:t>2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9</m:t>
              </m:r>
            </m:e>
          </m:d>
        </m:oMath>
      </m:oMathPara>
      <w:bookmarkEnd w:id="41"/>
    </w:p>
    <w:p>
      <w:pPr>
        <w:pStyle w:val="FirstParagraph"/>
      </w:pPr>
      <w:r>
        <w:t xml:space="preserve">We adjusted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using the notation used throughout this text. Here,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refers to the ES, undistorted by sampling error but not</w:t>
      </w:r>
      <w:r>
        <w:t xml:space="preserve"> </w:t>
      </w:r>
      <w:r>
        <w:t xml:space="preserve">corrected for measuring error,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refers to the ES, undistorted by</w:t>
      </w:r>
      <w:r>
        <w:t xml:space="preserve"> </w:t>
      </w:r>
      <w:r>
        <w:t xml:space="preserve">sampling error and measurement error and ρxx‘ refers to score</w:t>
      </w:r>
      <w:r>
        <w:t xml:space="preserve"> </w:t>
      </w:r>
      <w:r>
        <w:t xml:space="preserve">reliability.</w:t>
      </w:r>
    </w:p>
    <w:p>
      <w:pPr>
        <w:pStyle w:val="BodyText"/>
      </w:pP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implies that heterogeneity in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essentially a</w:t>
      </w:r>
      <w:r>
        <w:t xml:space="preserve"> </w:t>
      </w:r>
      <w:r>
        <w:t xml:space="preserve">function where heterogeneity and mean value 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are weighted by</w:t>
      </w:r>
      <w:r>
        <w:t xml:space="preserve"> </w:t>
      </w:r>
      <w:r>
        <w:t xml:space="preserve">mean score reliability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‘</m:t>
            </m:r>
          </m:sub>
        </m:sSub>
      </m:oMath>
      <w:r>
        <w:t xml:space="preserve"> </w:t>
      </w:r>
      <w:r>
        <w:t xml:space="preserve">and its heterogeneity. While it may</w:t>
      </w:r>
      <w:r>
        <w:t xml:space="preserve"> </w:t>
      </w:r>
      <w:r>
        <w:t xml:space="preserve">not be self-evident in the equation itself, it is easy to construct</w:t>
      </w:r>
      <w:r>
        <w:t xml:space="preserve"> </w:t>
      </w:r>
      <w:r>
        <w:t xml:space="preserve">cases where heterogeneity in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inflated or deflated by</w:t>
      </w:r>
      <w:r>
        <w:t xml:space="preserve"> </w:t>
      </w:r>
      <w:r>
        <w:t xml:space="preserve">heterogeneity in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‘</m:t>
            </m:r>
          </m:sub>
        </m:sSub>
      </m:oMath>
      <w:r>
        <w:t xml:space="preserve">, contradicting Hunter &amp; Schmidt’s</w:t>
      </w:r>
      <w:r>
        <w:t xml:space="preserve"> </w:t>
      </w:r>
      <w:r>
        <w:t xml:space="preserve">interpretation of this equation. In</w:t>
      </w:r>
      <w:r>
        <w:t xml:space="preserve"> </w:t>
      </w:r>
      <w:hyperlink w:anchor="fig-HS">
        <w:r>
          <w:rPr>
            <w:rStyle w:val="Hyperlink"/>
          </w:rPr>
          <w:t xml:space="preserve">Figure 2</w:t>
        </w:r>
      </w:hyperlink>
      <w:r>
        <w:t xml:space="preserve">, the results of employing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to compute the heterogeneity (variance) in corrected ES is</w:t>
      </w:r>
      <w:r>
        <w:t xml:space="preserve"> </w:t>
      </w:r>
      <w:r>
        <w:t xml:space="preserve">highlighted. All else held equal, only the individual level of mean</w:t>
      </w:r>
      <w:r>
        <w:t xml:space="preserve"> </w:t>
      </w:r>
      <w:r>
        <w:t xml:space="preserve">reliability</w:t>
      </w:r>
      <w:r>
        <w:t xml:space="preserve"> </w:t>
      </w:r>
      <m:oMath>
        <m:sSub>
          <m:e>
            <m:r>
              <m:t>μ</m:t>
            </m:r>
          </m:e>
          <m:sub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x</m:t>
                </m:r>
                <m:r>
                  <m:rPr>
                    <m:sty m:val="p"/>
                  </m:rPr>
                  <m:t>‘</m:t>
                </m:r>
              </m:sub>
            </m:sSub>
          </m:sub>
        </m:sSub>
      </m:oMath>
      <w:r>
        <w:t xml:space="preserve"> </w:t>
      </w:r>
      <w:r>
        <w:t xml:space="preserve">is varied from .5 to .8. Mean corrected</w:t>
      </w:r>
      <w:r>
        <w:t xml:space="preserve"> </w:t>
      </w:r>
      <w:r>
        <w:t xml:space="preserve">ES</w:t>
      </w:r>
      <w:r>
        <w:t xml:space="preserve"> </w:t>
      </w:r>
      <m:oMath>
        <m:sSub>
          <m:e>
            <m:r>
              <m:t>μ</m:t>
            </m:r>
          </m:e>
          <m:sub>
            <m:r>
              <m:t>δ</m:t>
            </m:r>
          </m:sub>
        </m:sSub>
      </m:oMath>
      <w:r>
        <w:t xml:space="preserve"> </w:t>
      </w:r>
      <w:r>
        <w:t xml:space="preserve">is held constant at 1, its variance</w:t>
      </w:r>
      <w:r>
        <w:t xml:space="preserve"> </w:t>
      </w:r>
      <m:oMath>
        <m:sSubSup>
          <m:e>
            <m:r>
              <m:t>τ</m:t>
            </m:r>
          </m:e>
          <m:sub>
            <m:r>
              <m:t>δ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held constant at .04 and the variance of score reliability</w:t>
      </w:r>
      <w:r>
        <w:t xml:space="preserve"> </w:t>
      </w:r>
      <m:oMath>
        <m:sSubSup>
          <m:e>
            <m:r>
              <m:t>τ</m:t>
            </m:r>
          </m:e>
          <m:sub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x</m:t>
                </m:r>
                <m:r>
                  <m:rPr>
                    <m:sty m:val="p"/>
                  </m:rPr>
                  <m:t>‘</m:t>
                </m:r>
              </m:sub>
            </m:sSub>
          </m:sub>
          <m:sup>
            <m:r>
              <m:t>2</m:t>
            </m:r>
          </m:sup>
        </m:sSubSup>
      </m:oMath>
      <w:r>
        <w:t xml:space="preserve"> </w:t>
      </w:r>
      <w:r>
        <w:t xml:space="preserve">held constant at .02.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H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Manuscript_MD_ScoreReLiability_files/figure-docx/fig-HS-1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Implications by Hunter &amp; Schmidt’s</w:t>
            </w:r>
            <w:r>
              <w:t xml:space="preserve"> </w:t>
            </w:r>
            <w:hyperlink w:anchor="eq-HS">
              <w:r>
                <w:rPr>
                  <w:rStyle w:val="Hyperlink"/>
                </w:rPr>
                <w:t xml:space="preserve">Equation 9</w:t>
              </w:r>
            </w:hyperlink>
          </w:p>
          <w:bookmarkEnd w:id="4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HS">
        <w:r>
          <w:rPr>
            <w:rStyle w:val="Hyperlink"/>
          </w:rPr>
          <w:t xml:space="preserve">Figure 2</w:t>
        </w:r>
      </w:hyperlink>
      <w:r>
        <w:t xml:space="preserve">, the dashed red line corresponds to the variance of corrected</w:t>
      </w:r>
      <w:r>
        <w:t xml:space="preserve"> </w:t>
      </w:r>
      <w:r>
        <w:t xml:space="preserve">ES.</w:t>
      </w:r>
    </w:p>
    <w:p>
      <w:pPr>
        <w:pStyle w:val="BodyText"/>
      </w:pPr>
      <w:r>
        <w:t xml:space="preserve">If everything else is held constant, the variance in uncorrected ES can</w:t>
      </w:r>
      <w:r>
        <w:t xml:space="preserve"> </w:t>
      </w:r>
      <w:r>
        <w:t xml:space="preserve">be a function only of the mean level of score reliability</w:t>
      </w:r>
      <w:r>
        <w:t xml:space="preserve"> </w:t>
      </w:r>
      <m:oMath>
        <m:sSub>
          <m:e>
            <m:r>
              <m:t>μ</m:t>
            </m:r>
          </m:e>
          <m:sub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x</m:t>
                </m:r>
                <m:r>
                  <m:rPr>
                    <m:sty m:val="p"/>
                  </m:rPr>
                  <m:t>‘</m:t>
                </m:r>
              </m:sub>
            </m:sSub>
          </m:sub>
        </m:sSub>
      </m:oMath>
      <w:r>
        <w:t xml:space="preserve">, according to H&amp;S equation. In that case, Figure 2</w:t>
      </w:r>
      <w:r>
        <w:t xml:space="preserve"> </w:t>
      </w:r>
      <w:r>
        <w:t xml:space="preserve">demonstrates that correcting for imperfect score reliability does not</w:t>
      </w:r>
      <w:r>
        <w:t xml:space="preserve"> </w:t>
      </w:r>
      <w:r>
        <w:t xml:space="preserve">inevitably lead to lower heterogeneity, as the line representing</w:t>
      </w:r>
      <w:r>
        <w:t xml:space="preserve"> </w:t>
      </w:r>
      <w:r>
        <w:t xml:space="preserve">heterogeneity in uncorrected ES does cross the red line, representing</w:t>
      </w:r>
      <w:r>
        <w:t xml:space="preserve"> </w:t>
      </w:r>
      <w:r>
        <w:t xml:space="preserve">the heterogeneity in corrected ES. This implies that, as long as mean</w:t>
      </w:r>
      <w:r>
        <w:t xml:space="preserve"> </w:t>
      </w:r>
      <w:r>
        <w:t xml:space="preserve">score reliability is below .72, an attenuation correction would lead to</w:t>
      </w:r>
      <w:r>
        <w:t xml:space="preserve"> </w:t>
      </w:r>
      <w:r>
        <w:t xml:space="preserve">a reduction in ES heterogeneity. As mean score reliability grows larger</w:t>
      </w:r>
      <w:r>
        <w:t xml:space="preserve"> </w:t>
      </w:r>
      <w:r>
        <w:t xml:space="preserve">than .72, however, the heterogeneity in uncorrected ES grows larger than</w:t>
      </w:r>
      <w:r>
        <w:t xml:space="preserve"> </w:t>
      </w:r>
      <w:r>
        <w:t xml:space="preserve">the heterogeneity in corrected ES - an attenuation correction would</w:t>
      </w:r>
      <w:r>
        <w:t xml:space="preserve"> </w:t>
      </w:r>
      <w:r>
        <w:t xml:space="preserve">therefore only increase the extent of ES heterogeneity. This</w:t>
      </w:r>
      <w:r>
        <w:t xml:space="preserve"> </w:t>
      </w:r>
      <w:r>
        <w:t xml:space="preserve">demonstrates that, depending on the mean level of score reliability,</w:t>
      </w:r>
      <w:r>
        <w:t xml:space="preserve"> </w:t>
      </w:r>
      <w:r>
        <w:t xml:space="preserve">heterogeneity in uncorrected ES can be higher or lower than</w:t>
      </w:r>
      <w:r>
        <w:t xml:space="preserve"> </w:t>
      </w:r>
      <w:r>
        <w:t xml:space="preserve">heterogeneity in corrected ES. As heterogeneity in corrected ES is not</w:t>
      </w:r>
      <w:r>
        <w:t xml:space="preserve"> </w:t>
      </w:r>
      <w:r>
        <w:t xml:space="preserve">always smaller, the interpretationsof H&amp;S concerning this equation is</w:t>
      </w:r>
      <w:r>
        <w:t xml:space="preserve"> </w:t>
      </w:r>
      <w:r>
        <w:t xml:space="preserve">erroneous.</w:t>
      </w:r>
    </w:p>
    <w:p>
      <w:pPr>
        <w:pStyle w:val="BodyText"/>
      </w:pPr>
      <w:r>
        <w:t xml:space="preserve">However,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is additionally flawed, as it violates a crucial</w:t>
      </w:r>
      <w:r>
        <w:t xml:space="preserve"> </w:t>
      </w:r>
      <w:r>
        <w:t xml:space="preserve">definition. As Hunter &amp; Schmidt point out,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is only valid</w:t>
      </w:r>
      <w:r>
        <w:t xml:space="preserve"> </w:t>
      </w:r>
      <w:r>
        <w:t xml:space="preserve">“</w:t>
      </w:r>
      <w:r>
        <w:t xml:space="preserve">If the</w:t>
      </w:r>
      <w:r>
        <w:t xml:space="preserve"> </w:t>
      </w:r>
      <w:r>
        <w:t xml:space="preserve">level of reliability is independent of the true effect size across</w:t>
      </w:r>
      <w:r>
        <w:t xml:space="preserve"> </w:t>
      </w:r>
      <w:r>
        <w:t xml:space="preserve">studies […]</w:t>
      </w:r>
      <w:r>
        <w:t xml:space="preserve">”</w:t>
      </w:r>
      <w:r>
        <w:t xml:space="preserve"> </w:t>
      </w:r>
      <w:r>
        <w:t xml:space="preserve">(2014, p. 309). However, both parameters, 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score reliability ρxx‘, can not be independent parameters by definition.</w:t>
      </w:r>
      <w:r>
        <w:t xml:space="preserve"> </w:t>
      </w:r>
      <w:r>
        <w:t xml:space="preserve">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the</w:t>
      </w:r>
      <w:r>
        <w:t xml:space="preserve"> </w:t>
      </w:r>
      <w:r>
        <w:t xml:space="preserve">“</w:t>
      </w:r>
      <w:r>
        <w:t xml:space="preserve">true</w:t>
      </w:r>
      <w:r>
        <w:t xml:space="preserve">”</w:t>
      </w:r>
      <w:r>
        <w:t xml:space="preserve"> </w:t>
      </w:r>
      <w:r>
        <w:t xml:space="preserve">standardized mean difference, unaffected by</w:t>
      </w:r>
      <w:r>
        <w:t xml:space="preserve"> </w:t>
      </w:r>
      <w:r>
        <w:t xml:space="preserve">sampling or measurement error. The ES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standardized using</w:t>
      </w:r>
      <w:r>
        <w:t xml:space="preserve"> </w:t>
      </w:r>
      <w:r>
        <w:t xml:space="preserve">the total standard deviation, which is inflated by measurement error.</w:t>
      </w:r>
      <w:r>
        <w:t xml:space="preserve"> </w:t>
      </w:r>
      <w:r>
        <w:t xml:space="preserve">Equation 1, demonstrating how Cohen’s d is computed demonstrates how the</w:t>
      </w:r>
      <w:r>
        <w:t xml:space="preserve"> </w:t>
      </w:r>
      <w:r>
        <w:t xml:space="preserve">mean difference is standardized in this case. As demonstrated further</w:t>
      </w:r>
      <w:r>
        <w:t xml:space="preserve"> </w:t>
      </w:r>
      <w:r>
        <w:t xml:space="preserve">above in</w:t>
      </w:r>
      <w:r>
        <w:t xml:space="preserve"> </w:t>
      </w:r>
      <w:r>
        <w:t xml:space="preserve">@eg-dct</w:t>
      </w:r>
      <w:r>
        <w:t xml:space="preserve">, 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standardized using the true standard</w:t>
      </w:r>
      <w:r>
        <w:t xml:space="preserve"> </w:t>
      </w:r>
      <w:r>
        <w:t xml:space="preserve">deviation in the sense of CTT. The fact that the true standard deviation</w:t>
      </w:r>
      <w:r>
        <w:t xml:space="preserve"> </w:t>
      </w:r>
      <w:r>
        <w:t xml:space="preserve">parameter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found both in</w:t>
      </w:r>
      <w:r>
        <w:t xml:space="preserve"> </w:t>
      </w:r>
      <w:hyperlink w:anchor="eq-dct">
        <w:r>
          <w:rPr>
            <w:rStyle w:val="Hyperlink"/>
          </w:rPr>
          <w:t xml:space="preserve">Equation 5</w:t>
        </w:r>
      </w:hyperlink>
      <w:r>
        <w:t xml:space="preserve"> </w:t>
      </w:r>
      <w:r>
        <w:t xml:space="preserve">and</w:t>
      </w:r>
      <w:r>
        <w:t xml:space="preserve"> </w:t>
      </w:r>
      <w:hyperlink w:anchor="eq-rel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demonstrates</w:t>
      </w:r>
      <w:r>
        <w:t xml:space="preserve"> </w:t>
      </w:r>
      <w:r>
        <w:t xml:space="preserve">that ES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and score reliability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‘</m:t>
            </m:r>
          </m:sub>
        </m:sSub>
      </m:oMath>
      <w:r>
        <w:t xml:space="preserve"> </w:t>
      </w:r>
      <w:r>
        <w:t xml:space="preserve">can not be</w:t>
      </w:r>
      <w:r>
        <w:t xml:space="preserve"> </w:t>
      </w:r>
      <w:r>
        <w:t xml:space="preserve">independent variables. Therefore, the basic premise of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is not</w:t>
      </w:r>
      <w:r>
        <w:t xml:space="preserve"> </w:t>
      </w:r>
      <w:r>
        <w:t xml:space="preserve">fulfilled, as the assumption of variable independence could not be</w:t>
      </w:r>
      <w:r>
        <w:t xml:space="preserve"> </w:t>
      </w:r>
      <w:r>
        <w:t xml:space="preserve">fulfilled.</w:t>
      </w:r>
    </w:p>
    <w:bookmarkEnd w:id="46"/>
    <w:bookmarkStart w:id="58" w:name="describing-es-as-a-random-ratio-variable"/>
    <w:p>
      <w:pPr>
        <w:pStyle w:val="Heading3"/>
      </w:pPr>
      <w:r>
        <w:t xml:space="preserve">Describing ES as a random ratio variable</w:t>
      </w:r>
    </w:p>
    <w:p>
      <w:pPr>
        <w:pStyle w:val="FirstParagraph"/>
      </w:pPr>
      <w:r>
        <w:t xml:space="preserve">However, realising that an ES, as defined in</w:t>
      </w:r>
      <w:r>
        <w:t xml:space="preserve"> </w:t>
      </w:r>
      <w:hyperlink w:anchor="eq-d">
        <w:r>
          <w:rPr>
            <w:rStyle w:val="Hyperlink"/>
          </w:rPr>
          <w:t xml:space="preserve">Equation 1</w:t>
        </w:r>
      </w:hyperlink>
      <w:r>
        <w:t xml:space="preserve">, is actually a ratio,</w:t>
      </w:r>
      <w:r>
        <w:t xml:space="preserve"> </w:t>
      </w:r>
      <w:r>
        <w:t xml:space="preserve">allows for a different analytical description of how differences in</w:t>
      </w:r>
      <w:r>
        <w:t xml:space="preserve"> </w:t>
      </w:r>
      <w:r>
        <w:t xml:space="preserve">score reliability can affect ES heterogeneity. If the phenomenon is</w:t>
      </w:r>
      <w:r>
        <w:t xml:space="preserve"> </w:t>
      </w:r>
      <w:r>
        <w:t xml:space="preserve">heterogeneous and score reliability varies across replications, it seems</w:t>
      </w:r>
      <w:r>
        <w:t xml:space="preserve"> </w:t>
      </w:r>
      <w:r>
        <w:t xml:space="preserve">sensible to assume that both numerator and denominator (MD and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) from</w:t>
      </w:r>
      <w:r>
        <w:t xml:space="preserve"> </w:t>
      </w:r>
      <w:hyperlink w:anchor="eq-d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vary across replications. In that case, an ES can</w:t>
      </w:r>
      <w:r>
        <w:t xml:space="preserve"> </w:t>
      </w:r>
      <w:r>
        <w:t xml:space="preserve">be described as a random variable stemming from a ratio distribution. A</w:t>
      </w:r>
      <w:r>
        <w:t xml:space="preserve"> </w:t>
      </w:r>
      <w:r>
        <w:t xml:space="preserve">ratio distribution is a probability distribution constructed by dividing</w:t>
      </w:r>
      <w:r>
        <w:t xml:space="preserve"> </w:t>
      </w:r>
      <w:r>
        <w:t xml:space="preserve">one random variable by a second random variable: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(reference). If the distribution of the components is known, first order</w:t>
      </w:r>
      <w:r>
        <w:t xml:space="preserve"> </w:t>
      </w:r>
      <w:r>
        <w:t xml:space="preserve">taylor approximation may be used to generate estimates of mean and</w:t>
      </w:r>
      <w:r>
        <w:t xml:space="preserve"> </w:t>
      </w:r>
      <w:r>
        <w:t xml:space="preserve">variance of the ratio variable (reference). Here we use the</w:t>
      </w:r>
      <w:r>
        <w:t xml:space="preserve"> </w:t>
      </w:r>
      <w:r>
        <w:t xml:space="preserve">Taylor-estimator of the ratio’s variance to demonstrate how differences</w:t>
      </w:r>
      <w:r>
        <w:t xml:space="preserve"> </w:t>
      </w:r>
      <w:r>
        <w:t xml:space="preserve">in score reliability may affect heterogeneity in ES.</w:t>
      </w:r>
    </w:p>
    <w:p>
      <w:pPr>
        <w:pStyle w:val="BodyText"/>
      </w:pPr>
      <w:bookmarkStart w:id="47" w:name="eq-XYZ_cov"/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μ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den>
          </m:f>
          <m:r>
            <m:t>c</m:t>
          </m:r>
          <m:r>
            <m:t>o</m:t>
          </m:r>
          <m:r>
            <m:t>v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</m:e>
          </m:d>
        </m:oMath>
      </m:oMathPara>
      <w:bookmarkEnd w:id="47"/>
    </w:p>
    <w:p>
      <w:pPr>
        <w:pStyle w:val="FirstParagraph"/>
      </w:pPr>
      <w:r>
        <w:t xml:space="preserve">Assuming that the random variables are uncorrelated, simplifies the</w:t>
      </w:r>
      <w:r>
        <w:t xml:space="preserve"> </w:t>
      </w:r>
      <w:r>
        <w:t xml:space="preserve">equation to</w:t>
      </w:r>
    </w:p>
    <w:p>
      <w:pPr>
        <w:pStyle w:val="BodyText"/>
      </w:pPr>
      <w:bookmarkStart w:id="48" w:name="eq-XYZ"/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Y</m:t>
                      </m:r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Y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</m:e>
          </m:d>
        </m:oMath>
      </m:oMathPara>
      <w:bookmarkEnd w:id="48"/>
    </w:p>
    <w:p>
      <w:pPr>
        <w:pStyle w:val="FirstParagraph"/>
      </w:pPr>
      <w:r>
        <w:t xml:space="preserve">Substituting for ES, unstandardized mean difference MD and pooled</w:t>
      </w:r>
      <w:r>
        <w:t xml:space="preserve"> </w:t>
      </w:r>
      <w:r>
        <w:t xml:space="preserve">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leads to</w:t>
      </w:r>
    </w:p>
    <w:p>
      <w:pPr>
        <w:pStyle w:val="BodyText"/>
      </w:pPr>
      <w:bookmarkStart w:id="49" w:name="eq-ratio_d0"/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M</m:t>
                  </m:r>
                  <m:r>
                    <m:t>D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r>
                        <m:t>D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r>
            <m:t>v</m:t>
          </m:r>
          <m:r>
            <m:t>a</m:t>
          </m:r>
          <m:r>
            <m:t>r</m:t>
          </m:r>
          <m:d>
            <m:dPr>
              <m:begChr m:val="["/>
              <m:endChr m:val="]"/>
              <m:sepChr m:val=""/>
              <m:grow/>
            </m:dPr>
            <m:e>
              <m:r>
                <m:t>S</m:t>
              </m:r>
              <m:r>
                <m:t>D</m:t>
              </m:r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12</m:t>
              </m:r>
            </m:e>
          </m:d>
        </m:oMath>
      </m:oMathPara>
      <w:bookmarkEnd w:id="49"/>
    </w:p>
    <w:p>
      <w:pPr>
        <w:pStyle w:val="FirstParagraph"/>
      </w:pPr>
      <w:r>
        <w:t xml:space="preserve">As stated in</w:t>
      </w:r>
      <w:r>
        <w:t xml:space="preserve"> </w:t>
      </w:r>
      <w:hyperlink w:anchor="eq-dct">
        <w:r>
          <w:rPr>
            <w:rStyle w:val="Hyperlink"/>
          </w:rPr>
          <w:t xml:space="preserve">Equation 5</w:t>
        </w:r>
      </w:hyperlink>
      <w:r>
        <w:t xml:space="preserve">, correcting ES for score reliability can be</w:t>
      </w:r>
      <w:r>
        <w:t xml:space="preserve"> </w:t>
      </w:r>
      <w:r>
        <w:t xml:space="preserve">described through a correction of the pooled standard deviation: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x</m:t>
                </m:r>
                <m:r>
                  <m:rPr>
                    <m:sty m:val="p"/>
                  </m:rPr>
                  <m:t>’</m:t>
                </m:r>
              </m:sub>
            </m:s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e>
        </m:rad>
      </m:oMath>
      <w:r>
        <w:t xml:space="preserve">. Since</w:t>
      </w:r>
      <w:r>
        <w:t xml:space="preserve"> </w:t>
      </w:r>
      <m:oMath>
        <m:sSub>
          <m:e>
            <m:r>
              <m:t>ρ</m:t>
            </m:r>
          </m:e>
          <m:sub>
            <m:r>
              <m:t>x</m:t>
            </m:r>
            <m:r>
              <m:t>x</m:t>
            </m:r>
            <m:r>
              <m:rPr>
                <m:sty m:val="p"/>
              </m:rPr>
              <m:t>′</m:t>
            </m:r>
          </m:sub>
        </m:sSub>
      </m:oMath>
      <w:r>
        <w:t xml:space="preserve"> </w:t>
      </w:r>
      <w:r>
        <w:t xml:space="preserve">is always</w:t>
      </w:r>
      <w:r>
        <w:t xml:space="preserve"> </w:t>
      </w:r>
      <w:r>
        <w:t xml:space="preserve">between zero and one, in the case of imperfect score reliability,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will always be smaller than total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. Additionally,</w:t>
      </w:r>
      <w:r>
        <w:t xml:space="preserve"> </w:t>
      </w:r>
      <w:r>
        <w:t xml:space="preserve">if the heterogeneity in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was introduced purely by differences</w:t>
      </w:r>
      <w:r>
        <w:t xml:space="preserve"> </w:t>
      </w:r>
      <w:r>
        <w:t xml:space="preserve">in measurement precision – the error score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, this</w:t>
      </w:r>
      <w:r>
        <w:t xml:space="preserve"> </w:t>
      </w:r>
      <w:r>
        <w:t xml:space="preserve">would be removed by the attenuation correction. However, alternatively,</w:t>
      </w:r>
      <w:r>
        <w:t xml:space="preserve"> </w:t>
      </w:r>
      <w:r>
        <w:t xml:space="preserve">the underlying latent variable we attempted to measure may not be</w:t>
      </w:r>
      <w:r>
        <w:t xml:space="preserve"> </w:t>
      </w:r>
      <w:r>
        <w:t xml:space="preserve">distributed identically across replications. In that case, true score</w:t>
      </w:r>
      <w:r>
        <w:t xml:space="preserve"> </w:t>
      </w:r>
      <w:r>
        <w:t xml:space="preserve">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would vary across replications, leading to</w:t>
      </w:r>
      <w:r>
        <w:t xml:space="preserve"> </w:t>
      </w:r>
      <w:r>
        <w:t xml:space="preserve">differences in both score reliability, corrected ES and raw ES.</w:t>
      </w:r>
      <w:r>
        <w:t xml:space="preserve"> </w:t>
      </w:r>
      <w:r>
        <w:t xml:space="preserve">Importantly, this implies that even if measurements of perfect score</w:t>
      </w:r>
      <w:r>
        <w:t xml:space="preserve"> </w:t>
      </w:r>
      <w:r>
        <w:t xml:space="preserve">reliability were taken across the different replications, heterogeneity</w:t>
      </w:r>
      <w:r>
        <w:t xml:space="preserve"> </w:t>
      </w:r>
      <w:r>
        <w:t xml:space="preserve">in ES would still persist.</w:t>
      </w:r>
    </w:p>
    <w:p>
      <w:pPr>
        <w:pStyle w:val="BodyText"/>
      </w:pPr>
      <w:r>
        <w:t xml:space="preserve">In that case, some heterogeneity in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would remain, albeit</w:t>
      </w:r>
      <w:r>
        <w:t xml:space="preserve"> </w:t>
      </w:r>
      <w:r>
        <w:t xml:space="preserve">heterogeneity found in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was reduced.</w:t>
      </w:r>
      <w:r>
        <w:t xml:space="preserve"> </w:t>
      </w:r>
      <w:hyperlink w:anchor="eq-ratio_d0">
        <w:r>
          <w:rPr>
            <w:rStyle w:val="Hyperlink"/>
          </w:rPr>
          <w:t xml:space="preserve">Equation 12</w:t>
        </w:r>
      </w:hyperlink>
      <w:r>
        <w:t xml:space="preserve"> </w:t>
      </w:r>
      <w:r>
        <w:t xml:space="preserve">essentially</w:t>
      </w:r>
      <w:r>
        <w:t xml:space="preserve"> </w:t>
      </w:r>
      <w:r>
        <w:t xml:space="preserve">demonstrates how mean and heterogeneity of MD, paired with mean and</w:t>
      </w:r>
      <w:r>
        <w:t xml:space="preserve"> </w:t>
      </w:r>
      <w:r>
        <w:t xml:space="preserve">heterogeneity of total score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can be used</w:t>
      </w:r>
      <w:r>
        <w:t xml:space="preserve"> </w:t>
      </w:r>
      <w:r>
        <w:t xml:space="preserve">to estimate heterogeneity in raw ES</w:t>
      </w:r>
      <w:r>
        <w:t xml:space="preserve"> 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. Similarly, we can adjust</w:t>
      </w:r>
      <w:r>
        <w:t xml:space="preserve"> </w:t>
      </w:r>
      <w:r>
        <w:t xml:space="preserve">Equation</w:t>
      </w:r>
      <w:r>
        <w:t xml:space="preserve"> </w:t>
      </w:r>
      <w:hyperlink w:anchor="eq-ratio_d0">
        <w:r>
          <w:rPr>
            <w:rStyle w:val="Hyperlink"/>
          </w:rPr>
          <w:t xml:space="preserve">Equation 12</w:t>
        </w:r>
      </w:hyperlink>
      <w:r>
        <w:t xml:space="preserve"> </w:t>
      </w:r>
      <w:r>
        <w:t xml:space="preserve">to describe how, instead of total score standard</w:t>
      </w:r>
      <w:r>
        <w:t xml:space="preserve"> </w:t>
      </w:r>
      <w:r>
        <w:t xml:space="preserve">deviation, mean and variance in true score standard deviation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affect heterogeneity in corrected ES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BodyText"/>
      </w:pPr>
      <w:bookmarkStart w:id="50" w:name="eq-ratio_d"/>
      <m:oMathPara>
        <m:oMathParaPr>
          <m:jc m:val="center"/>
        </m:oMathParaPr>
        <m:oMath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r>
                <m:t>δ</m:t>
              </m:r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sSup>
                <m:e>
                  <m:r>
                    <m:t>τ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M</m:t>
                  </m:r>
                  <m:r>
                    <m:t>D</m:t>
                  </m:r>
                </m:e>
              </m:d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M</m:t>
                      </m:r>
                      <m:r>
                        <m:t>D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μ</m:t>
              </m:r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sSub>
                        <m:e>
                          <m:r>
                            <m:t>σ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m:t>4</m:t>
                  </m:r>
                </m:sup>
              </m:sSup>
            </m:den>
          </m:f>
          <m:sSup>
            <m:e>
              <m:r>
                <m:t>τ</m:t>
              </m:r>
            </m:e>
            <m:sup>
              <m:r>
                <m:t>2</m:t>
              </m:r>
            </m:sup>
          </m:sSup>
          <m:d>
            <m:dPr>
              <m:begChr m:val="["/>
              <m:endChr m:val="]"/>
              <m:sepChr m:val=""/>
              <m:grow/>
            </m:dPr>
            <m:e>
              <m:sSub>
                <m:e>
                  <m:r>
                    <m:t>σ</m:t>
                  </m:r>
                </m:e>
                <m:sub>
                  <m:r>
                    <m:t>T</m:t>
                  </m:r>
                </m:sub>
              </m:sSub>
            </m:e>
          </m:d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13</m:t>
              </m:r>
            </m:e>
          </m:d>
        </m:oMath>
      </m:oMathPara>
      <w:bookmarkEnd w:id="50"/>
    </w:p>
    <w:p>
      <w:pPr>
        <w:pStyle w:val="FirstParagraph"/>
      </w:pPr>
      <w:r>
        <w:t xml:space="preserve">The differences between the two</w:t>
      </w:r>
      <w:r>
        <w:t xml:space="preserve"> </w:t>
      </w:r>
      <w:hyperlink w:anchor="eq-ratio_d0">
        <w:r>
          <w:rPr>
            <w:rStyle w:val="Hyperlink"/>
          </w:rPr>
          <w:t xml:space="preserve">Equations 12</w:t>
        </w:r>
      </w:hyperlink>
      <w:r>
        <w:t xml:space="preserve"> </w:t>
      </w:r>
      <w:r>
        <w:t xml:space="preserve">and</w:t>
      </w:r>
      <w:r>
        <w:t xml:space="preserve"> </w:t>
      </w:r>
      <w:hyperlink w:anchor="eq-ratio_d">
        <w:r>
          <w:rPr>
            <w:rStyle w:val="Hyperlink"/>
          </w:rPr>
          <w:t xml:space="preserve">13</w:t>
        </w:r>
      </w:hyperlink>
      <w:r>
        <w:t xml:space="preserve"> </w:t>
      </w:r>
      <w:r>
        <w:t xml:space="preserve">demonstrates how ES heterogeneity is affected by an</w:t>
      </w:r>
      <w:r>
        <w:t xml:space="preserve"> </w:t>
      </w:r>
      <w:r>
        <w:t xml:space="preserve">attenuation correction procedure. According to the quotes in H&amp;S and</w:t>
      </w:r>
      <w:r>
        <w:t xml:space="preserve"> </w:t>
      </w:r>
      <w:r>
        <w:t xml:space="preserve">W&amp;D,</w:t>
      </w:r>
      <w:r>
        <w:t xml:space="preserve"> </w:t>
      </w:r>
      <w:hyperlink w:anchor="eq-ratio_d0">
        <w:r>
          <w:rPr>
            <w:rStyle w:val="Hyperlink"/>
          </w:rPr>
          <w:t xml:space="preserve">Equation 12</w:t>
        </w:r>
      </w:hyperlink>
      <w:r>
        <w:t xml:space="preserve"> </w:t>
      </w:r>
      <w:r>
        <w:t xml:space="preserve">should lead to a larger value of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d>
          <m:dPr>
            <m:begChr m:val="["/>
            <m:endChr m:val="]"/>
            <m:sepChr m:val=""/>
            <m:grow/>
          </m:dPr>
          <m:e>
            <m:sSub>
              <m:e>
                <m:r>
                  <m:t>δ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, compared to the estimate of</w:t>
      </w:r>
      <w:r>
        <w:t xml:space="preserve"> </w:t>
      </w:r>
      <m:oMath>
        <m:sSup>
          <m:e>
            <m:r>
              <m:t>τ</m:t>
            </m:r>
          </m:e>
          <m:sup>
            <m:r>
              <m:t>2</m:t>
            </m:r>
          </m:sup>
        </m:sSup>
        <m:d>
          <m:dPr>
            <m:begChr m:val="["/>
            <m:endChr m:val="]"/>
            <m:sepChr m:val=""/>
            <m:grow/>
          </m:dPr>
          <m:e>
            <m:r>
              <m:t>δ</m:t>
            </m:r>
          </m:e>
        </m:d>
      </m:oMath>
      <w:r>
        <w:t xml:space="preserve"> </w:t>
      </w:r>
      <w:r>
        <w:t xml:space="preserve">from</w:t>
      </w:r>
      <w:r>
        <w:t xml:space="preserve"> </w:t>
      </w:r>
      <w:hyperlink w:anchor="eq-ratio_d">
        <w:r>
          <w:rPr>
            <w:rStyle w:val="Hyperlink"/>
          </w:rPr>
          <w:t xml:space="preserve">Equation 13</w:t>
        </w:r>
      </w:hyperlink>
      <w:r>
        <w:t xml:space="preserve">. However, the equations</w:t>
      </w:r>
      <w:r>
        <w:t xml:space="preserve"> </w:t>
      </w:r>
      <w:r>
        <w:t xml:space="preserve">shown throughout this text do not agree with this conclusion.</w:t>
      </w:r>
    </w:p>
    <w:p>
      <w:pPr>
        <w:pStyle w:val="BodyText"/>
      </w:pPr>
      <w:r>
        <w:t xml:space="preserve">Instead, what is guaranteed is that the expected value of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smaller than the expected value of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. Similarly, the</w:t>
      </w:r>
      <w:r>
        <w:t xml:space="preserve"> </w:t>
      </w:r>
      <w:r>
        <w:t xml:space="preserve">heterogeneity in</w:t>
      </w:r>
      <w:r>
        <w:t xml:space="preserve"> </w:t>
      </w:r>
      <m:oMath>
        <m:sSub>
          <m:e>
            <m:r>
              <m:t>σ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guaranteed to be smaller than the</w:t>
      </w:r>
      <w:r>
        <w:t xml:space="preserve"> </w:t>
      </w:r>
      <w:r>
        <w:t xml:space="preserve">uncorrected heterogeneity in</w:t>
      </w:r>
      <w:r>
        <w:t xml:space="preserve"> </w:t>
      </w:r>
      <m:oMath>
        <m:sSub>
          <m:e>
            <m:r>
              <m:t>σ</m:t>
            </m:r>
          </m:e>
          <m:sub>
            <m:r>
              <m:t>X</m:t>
            </m:r>
          </m:sub>
        </m:sSub>
      </m:oMath>
      <w:r>
        <w:t xml:space="preserve">. However, since the expected</w:t>
      </w:r>
      <w:r>
        <w:t xml:space="preserve"> </w:t>
      </w:r>
      <w:r>
        <w:t xml:space="preserve">value of either standard deviation is placed in the denominator of the</w:t>
      </w:r>
      <w:r>
        <w:t xml:space="preserve"> </w:t>
      </w:r>
      <w:r>
        <w:t xml:space="preserve">function and the variance of either is placed in the numerator of the</w:t>
      </w:r>
      <w:r>
        <w:t xml:space="preserve"> </w:t>
      </w:r>
      <w:r>
        <w:t xml:space="preserve">function,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 </w:t>
      </w:r>
      <w:r>
        <w:t xml:space="preserve">is not sufficient to explain how heterogeneity in ES</w:t>
      </w:r>
      <w:r>
        <w:t xml:space="preserve"> </w:t>
      </w:r>
      <w:r>
        <w:t xml:space="preserve">changes due to the attenuation correction. Instead, we introduce two</w:t>
      </w:r>
      <w:r>
        <w:t xml:space="preserve"> </w:t>
      </w:r>
      <w:r>
        <w:t xml:space="preserve">additional metrics.</w:t>
      </w:r>
    </w:p>
    <w:p>
      <w:pPr>
        <w:pStyle w:val="BodyText"/>
      </w:pPr>
      <w:bookmarkStart w:id="51" w:name="eq-R1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num>
            <m:den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14</m:t>
              </m:r>
            </m:e>
          </m:d>
        </m:oMath>
      </m:oMathPara>
      <w:bookmarkEnd w:id="51"/>
    </w:p>
    <w:p>
      <w:pPr>
        <w:pStyle w:val="FirstParagraph"/>
      </w:pP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describes the relative size of mean true score variance, compared</w:t>
      </w:r>
      <w:r>
        <w:t xml:space="preserve"> </w:t>
      </w:r>
      <w:r>
        <w:t xml:space="preserve">to the mean observed score variance. This informs us, how much of the</w:t>
      </w:r>
      <w:r>
        <w:t xml:space="preserve"> </w:t>
      </w:r>
      <w:r>
        <w:t xml:space="preserve">mean total score variance can be attributed to mean true score variance.</w:t>
      </w:r>
      <w:r>
        <w:t xml:space="preserve"> </w:t>
      </w:r>
      <w:r>
        <w:t xml:space="preserve">Therefore, this metric is close to the average score reliability. Even</w:t>
      </w:r>
      <w:r>
        <w:t xml:space="preserve"> </w:t>
      </w:r>
      <w:r>
        <w:t xml:space="preserve">though formally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the meta-analytic mean score reliability</w:t>
      </w:r>
      <w:r>
        <w:t xml:space="preserve"> </w:t>
      </w:r>
      <m:oMath>
        <m:sSub>
          <m:e>
            <m:r>
              <m:t>μ</m:t>
            </m:r>
          </m:e>
          <m:sub>
            <m:sSub>
              <m:e>
                <m:r>
                  <m:t>ρ</m:t>
                </m:r>
              </m:e>
              <m:sub>
                <m:r>
                  <m:t>x</m:t>
                </m:r>
                <m:r>
                  <m:t>x</m:t>
                </m:r>
                <m:r>
                  <m:rPr>
                    <m:sty m:val="p"/>
                  </m:rPr>
                  <m:t>′</m:t>
                </m:r>
              </m:sub>
            </m:sSub>
          </m:sub>
        </m:sSub>
      </m:oMath>
      <w:r>
        <w:t xml:space="preserve"> </w:t>
      </w:r>
      <w:r>
        <w:t xml:space="preserve">are not the same value, in practice we observe little</w:t>
      </w:r>
      <w:r>
        <w:t xml:space="preserve"> </w:t>
      </w:r>
      <w:r>
        <w:t xml:space="preserve">to no differences between the two parameters. Large values indicate that</w:t>
      </w:r>
      <w:r>
        <w:t xml:space="preserve"> </w:t>
      </w:r>
      <w:r>
        <w:t xml:space="preserve">correcting the individual score variances (or standard deviations for</w:t>
      </w:r>
      <w:r>
        <w:t xml:space="preserve"> </w:t>
      </w:r>
      <w:r>
        <w:t xml:space="preserve">that matter) using the attenuation correction procedure should lead to</w:t>
      </w:r>
      <w:r>
        <w:t xml:space="preserve"> </w:t>
      </w:r>
      <w:r>
        <w:t xml:space="preserve">very little change, as most of the variation observed were due to</w:t>
      </w:r>
      <w:r>
        <w:t xml:space="preserve"> </w:t>
      </w:r>
      <w:r>
        <w:t xml:space="preserve">genuine differences in true scores. Small values indicate the opposite,</w:t>
      </w:r>
      <w:r>
        <w:t xml:space="preserve"> </w:t>
      </w:r>
      <w:r>
        <w:t xml:space="preserve">the observed score variance was due to a larger amount of random error</w:t>
      </w:r>
      <w:r>
        <w:t xml:space="preserve"> </w:t>
      </w:r>
      <w:r>
        <w:t xml:space="preserve">score variance, leading to a stronger correction.</w:t>
      </w:r>
    </w:p>
    <w:p>
      <w:pPr>
        <w:pStyle w:val="BodyText"/>
      </w:pPr>
      <w:bookmarkStart w:id="52" w:name="eq-R2"/>
      <m:oMathPara>
        <m:oMathParaPr>
          <m:jc m:val="center"/>
        </m:oMathParaPr>
        <m:oMath>
          <m:sSub>
            <m:e>
              <m:r>
                <m:t>R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15</m:t>
              </m:r>
            </m:e>
          </m:d>
        </m:oMath>
      </m:oMathPara>
      <w:bookmarkEnd w:id="52"/>
    </w:p>
    <w:p>
      <w:pPr>
        <w:pStyle w:val="FirstParagraph"/>
      </w:pPr>
      <w:r>
        <w:t xml:space="preserve">The metric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on the other hand describes, in how far the attenuation</w:t>
      </w:r>
      <w:r>
        <w:t xml:space="preserve"> </w:t>
      </w:r>
      <w:r>
        <w:t xml:space="preserve">correction procedure has successfully reduced heterogeneity in score</w:t>
      </w:r>
      <w:r>
        <w:t xml:space="preserve"> </w:t>
      </w:r>
      <w:r>
        <w:t xml:space="preserve">variance</w:t>
      </w:r>
      <w:r>
        <w:t xml:space="preserve"> </w:t>
      </w:r>
      <m:oMath>
        <m:sSubSup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  <m:sup>
            <m:r>
              <m:t>2</m:t>
            </m:r>
          </m:sup>
        </m:sSubSup>
      </m:oMath>
      <w:r>
        <w:t xml:space="preserve">. A value of 1 indicates that the</w:t>
      </w:r>
      <w:r>
        <w:t xml:space="preserve"> </w:t>
      </w:r>
      <w:r>
        <w:t xml:space="preserve">heterogeneity in true score variance</w:t>
      </w:r>
      <w:r>
        <w:t xml:space="preserve"> </w:t>
      </w:r>
      <m:oMath>
        <m:sSubSup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T</m:t>
                </m:r>
              </m:sub>
              <m:sup>
                <m:r>
                  <m:t>2</m:t>
                </m:r>
              </m:sup>
            </m:sSubSup>
          </m:sub>
          <m:sup>
            <m:r>
              <m:t>2</m:t>
            </m:r>
          </m:sup>
        </m:sSubSup>
      </m:oMath>
      <w:r>
        <w:t xml:space="preserve">, the score</w:t>
      </w:r>
      <w:r>
        <w:t xml:space="preserve"> </w:t>
      </w:r>
      <w:r>
        <w:t xml:space="preserve">variance after the attenuation correction, is essentially just as large</w:t>
      </w:r>
      <w:r>
        <w:t xml:space="preserve"> </w:t>
      </w:r>
      <w:r>
        <w:t xml:space="preserve">as the heterogeneity initially observed. Smaller values indicate how</w:t>
      </w:r>
      <w:r>
        <w:t xml:space="preserve"> </w:t>
      </w:r>
      <w:r>
        <w:t xml:space="preserve">much heterogeneity is</w:t>
      </w:r>
      <w:r>
        <w:t xml:space="preserve"> </w:t>
      </w:r>
      <w:r>
        <w:t xml:space="preserve">“</w:t>
      </w:r>
      <w:r>
        <w:t xml:space="preserve">left</w:t>
      </w:r>
      <w:r>
        <w:t xml:space="preserve">”</w:t>
      </w:r>
      <w:r>
        <w:t xml:space="preserve">, after applying an attenuation correction,</w:t>
      </w:r>
      <w:r>
        <w:t xml:space="preserve"> </w:t>
      </w:r>
      <w:r>
        <w:t xml:space="preserve">relative to the initial heterogeneity. This means that a value of .7</w:t>
      </w:r>
      <w:r>
        <w:t xml:space="preserve"> </w:t>
      </w:r>
      <w:r>
        <w:t xml:space="preserve">indicates that about 70% of heterogeneity in score variance remains,</w:t>
      </w:r>
      <w:r>
        <w:t xml:space="preserve"> </w:t>
      </w:r>
      <w:r>
        <w:t xml:space="preserve">even after correcting for differences in score reliability. As only 30%</w:t>
      </w:r>
      <w:r>
        <w:t xml:space="preserve"> </w:t>
      </w:r>
      <w:r>
        <w:t xml:space="preserve">of score variance heterogeneity could be removed, this would imply that</w:t>
      </w:r>
      <w:r>
        <w:t xml:space="preserve"> </w:t>
      </w:r>
      <w:r>
        <w:t xml:space="preserve">differences in error score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were responsible for</w:t>
      </w:r>
      <w:r>
        <w:t xml:space="preserve"> </w:t>
      </w:r>
      <w:r>
        <w:t xml:space="preserve">less than a third of the heterogeneity in score variances found. On the</w:t>
      </w:r>
      <w:r>
        <w:t xml:space="preserve"> </w:t>
      </w:r>
      <w:r>
        <w:t xml:space="preserve">contrary, more than two thirds of heterogeneity could be attributed to</w:t>
      </w:r>
      <w:r>
        <w:t xml:space="preserve"> </w:t>
      </w:r>
      <w:r>
        <w:t xml:space="preserve">actual differences in how the underlying true scores are distributed</w:t>
      </w:r>
      <w:r>
        <w:t xml:space="preserve"> </w:t>
      </w:r>
      <w:r>
        <w:t xml:space="preserve">across samples.</w:t>
      </w:r>
    </w:p>
    <w:p>
      <w:pPr>
        <w:pStyle w:val="BodyText"/>
      </w:pPr>
      <w:r>
        <w:t xml:space="preserve">Both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make use of parameters of the distribution</w:t>
      </w:r>
      <w:r>
        <w:t xml:space="preserve"> </w:t>
      </w:r>
      <w:r>
        <w:t xml:space="preserve">of true and total score variance, not standard deviations. This choice</w:t>
      </w:r>
      <w:r>
        <w:t xml:space="preserve"> </w:t>
      </w:r>
      <w:r>
        <w:t xml:space="preserve">was made to facilitate the role of score reliability in the subsequent</w:t>
      </w:r>
      <w:r>
        <w:t xml:space="preserve"> </w:t>
      </w:r>
      <w:r>
        <w:t xml:space="preserve">discussion, as score reliability itself is defined by variances, not</w:t>
      </w:r>
      <w:r>
        <w:t xml:space="preserve"> </w:t>
      </w:r>
      <w:r>
        <w:t xml:space="preserve">standard deviations (see</w:t>
      </w:r>
      <w:r>
        <w:t xml:space="preserve"> </w:t>
      </w:r>
      <w:hyperlink w:anchor="eq-rel">
        <w:r>
          <w:rPr>
            <w:rStyle w:val="Hyperlink"/>
          </w:rPr>
          <w:t xml:space="preserve">Equation 3</w:t>
        </w:r>
      </w:hyperlink>
      <w:r>
        <w:t xml:space="preserve">).</w:t>
      </w:r>
    </w:p>
    <w:p>
      <w:pPr>
        <w:pStyle w:val="BodyText"/>
      </w:pPr>
      <w:r>
        <w:t xml:space="preserve">In this section, we attempt to understand under which circumstances the</w:t>
      </w:r>
      <w:r>
        <w:t xml:space="preserve"> </w:t>
      </w:r>
      <w:r>
        <w:t xml:space="preserve">heterogeneity in ES grows larger as the result of an attenuation</w:t>
      </w:r>
      <w:r>
        <w:t xml:space="preserve"> </w:t>
      </w:r>
      <w:r>
        <w:t xml:space="preserve">correction procedure, contrary to claims made in W&amp;D and H&amp;S. To do so,</w:t>
      </w:r>
      <w:r>
        <w:t xml:space="preserve"> </w:t>
      </w:r>
      <w:r>
        <w:t xml:space="preserve">we propose the following inequality, involving</w:t>
      </w:r>
      <w:r>
        <w:t xml:space="preserve"> </w:t>
      </w:r>
      <w:hyperlink w:anchor="eq-ratio_d0">
        <w:r>
          <w:rPr>
            <w:rStyle w:val="Hyperlink"/>
          </w:rPr>
          <w:t xml:space="preserve">Equations 12</w:t>
        </w:r>
      </w:hyperlink>
      <w:r>
        <w:t xml:space="preserve"> </w:t>
      </w:r>
      <w:r>
        <w:t xml:space="preserve">and</w:t>
      </w:r>
      <w:r>
        <w:t xml:space="preserve"> </w:t>
      </w:r>
      <w:hyperlink w:anchor="eq-ratio_d">
        <w:r>
          <w:rPr>
            <w:rStyle w:val="Hyperlink"/>
          </w:rPr>
          <w:t xml:space="preserve">13</w:t>
        </w:r>
      </w:hyperlink>
      <w:r>
        <w:t xml:space="preserve">.</w:t>
      </w:r>
    </w:p>
    <w:p>
      <w:pPr>
        <w:pStyle w:val="BodyText"/>
      </w:pPr>
      <w:bookmarkStart w:id="53" w:name="eq-ineq_init"/>
      <m:oMathPara>
        <m:oMathParaPr>
          <m:jc m:val="center"/>
        </m:oMathParaPr>
        <m:oMath>
          <m:sSubSup>
            <m:e>
              <m:r>
                <m:t>τ</m:t>
              </m:r>
            </m:e>
            <m:sub>
              <m:r>
                <m:t>δ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&gt;</m:t>
          </m:r>
          <m:sSubSup>
            <m:e>
              <m:r>
                <m:t>τ</m:t>
              </m:r>
            </m:e>
            <m:sub>
              <m:sSub>
                <m:e>
                  <m:r>
                    <m:t>δ</m:t>
                  </m:r>
                </m:e>
                <m:sub>
                  <m:r>
                    <m:t>0</m:t>
                  </m:r>
                </m:sub>
              </m:sSub>
            </m:sub>
            <m:sup>
              <m:r>
                <m:t>2</m:t>
              </m:r>
            </m:sup>
          </m:sSubSup>
          <m:r>
            <m:t> </m:t>
          </m:r>
          <m:r>
            <m:t> </m:t>
          </m:r>
          <m:r>
            <m:t> </m:t>
          </m:r>
          <m:r>
            <m:t> </m:t>
          </m:r>
          <m:r>
            <m:t> 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</m:sSub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</m:sSub>
                </m:sub>
                <m:sup>
                  <m:r>
                    <m:t>4</m:t>
                  </m:r>
                </m:sup>
              </m:sSubSup>
            </m:den>
          </m:f>
          <m:sSubSup>
            <m:e>
              <m:r>
                <m:t>τ</m:t>
              </m:r>
            </m:e>
            <m:sub>
              <m:sSub>
                <m:e>
                  <m:r>
                    <m:t>σ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&gt;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</m:sSub>
                </m:sub>
                <m:sup>
                  <m:r>
                    <m:t>4</m:t>
                  </m:r>
                </m:sup>
              </m:sSubSup>
            </m:den>
          </m:f>
          <m:sSubSup>
            <m:e>
              <m:r>
                <m:t>τ</m:t>
              </m:r>
            </m:e>
            <m:sub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sub>
            <m:sup>
              <m:r>
                <m:t>2</m:t>
              </m:r>
            </m:sup>
          </m:sSub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16</m:t>
              </m:r>
            </m:e>
          </m:d>
        </m:oMath>
      </m:oMathPara>
      <w:bookmarkEnd w:id="53"/>
    </w:p>
    <w:p>
      <w:pPr>
        <w:pStyle w:val="FirstParagraph"/>
      </w:pPr>
      <w:r>
        <w:t xml:space="preserve">Using the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defined in</w:t>
      </w:r>
      <w:r>
        <w:t xml:space="preserve"> </w:t>
      </w:r>
      <w:hyperlink w:anchor="eq-R1">
        <w:r>
          <w:rPr>
            <w:rStyle w:val="Hyperlink"/>
          </w:rPr>
          <w:t xml:space="preserve">Equations 14</w:t>
        </w:r>
      </w:hyperlink>
      <w:r>
        <w:t xml:space="preserve"> </w:t>
      </w:r>
      <w:r>
        <w:t xml:space="preserve">and</w:t>
      </w:r>
      <w:r>
        <w:t xml:space="preserve"> </w:t>
      </w:r>
      <w:hyperlink w:anchor="eq-R2">
        <w:r>
          <w:rPr>
            <w:rStyle w:val="Hyperlink"/>
          </w:rPr>
          <w:t xml:space="preserve">15</w:t>
        </w:r>
      </w:hyperlink>
      <w:r>
        <w:t xml:space="preserve">, we attempt to understand under which circumstances the</w:t>
      </w:r>
      <w:r>
        <w:t xml:space="preserve"> </w:t>
      </w:r>
      <w:r>
        <w:t xml:space="preserve">inequality defined in</w:t>
      </w:r>
      <w:r>
        <w:t xml:space="preserve"> </w:t>
      </w:r>
      <w:hyperlink w:anchor="eq-ineq_init">
        <w:r>
          <w:rPr>
            <w:rStyle w:val="Hyperlink"/>
          </w:rPr>
          <w:t xml:space="preserve">Equation 16</w:t>
        </w:r>
      </w:hyperlink>
      <w:r>
        <w:t xml:space="preserve"> </w:t>
      </w:r>
      <w:r>
        <w:t xml:space="preserve">holds true. However, while the</w:t>
      </w:r>
      <w:r>
        <w:t xml:space="preserve"> </w:t>
      </w:r>
      <w:r>
        <w:t xml:space="preserve">metrics make use of mean and heterogeneity of the score variances,</w:t>
      </w:r>
      <w:r>
        <w:t xml:space="preserve"> </w:t>
      </w:r>
      <w:hyperlink w:anchor="eq-ineq_init">
        <w:r>
          <w:rPr>
            <w:rStyle w:val="Hyperlink"/>
          </w:rPr>
          <w:t xml:space="preserve">Equation 16</w:t>
        </w:r>
      </w:hyperlink>
      <w:r>
        <w:t xml:space="preserve"> </w:t>
      </w:r>
      <w:r>
        <w:t xml:space="preserve">makes use of mean and heterogeneity of the standard</w:t>
      </w:r>
      <w:r>
        <w:t xml:space="preserve"> </w:t>
      </w:r>
      <w:r>
        <w:t xml:space="preserve">deviations. In order to incorporate the metrics, it is necessary to</w:t>
      </w:r>
      <w:r>
        <w:t xml:space="preserve"> </w:t>
      </w:r>
      <w:r>
        <w:t xml:space="preserve">reparameterise the equation. Using the delta method to approximate mean</w:t>
      </w:r>
      <w:r>
        <w:t xml:space="preserve"> </w:t>
      </w:r>
      <w:r>
        <w:t xml:space="preserve">value and heterogeneity of variance from those of the standard</w:t>
      </w:r>
      <w:r>
        <w:t xml:space="preserve"> </w:t>
      </w:r>
      <w:r>
        <w:t xml:space="preserve">deviations, we know that (ref):</w:t>
      </w:r>
    </w:p>
    <w:p>
      <w:pPr>
        <w:pStyle w:val="BodyText"/>
      </w:pPr>
      <w:bookmarkStart w:id="54" w:name="eq-delta_method"/>
      <m:oMathPara>
        <m:oMathParaPr>
          <m:jc m:val="center"/>
        </m:oMathParaPr>
        <m:oMath>
          <m:sSubSup>
            <m:e>
              <m:r>
                <m:t>μ</m:t>
              </m:r>
            </m:e>
            <m:sub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≈</m:t>
          </m:r>
          <m:sSub>
            <m:e>
              <m:r>
                <m:t>μ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</m:sSub>
          <m:r>
            <m:t> </m:t>
          </m:r>
          <m:r>
            <m:t> </m:t>
          </m:r>
          <m:r>
            <m:t>a</m:t>
          </m:r>
          <m:r>
            <m:t>n</m:t>
          </m:r>
          <m:r>
            <m:t>d</m:t>
          </m:r>
          <m:r>
            <m:t> </m:t>
          </m:r>
          <m:r>
            <m:t> </m:t>
          </m:r>
          <m:sSubSup>
            <m:e>
              <m:r>
                <m:t>τ</m:t>
              </m:r>
            </m:e>
            <m:sub>
              <m:sSub>
                <m:e>
                  <m:r>
                    <m:t>σ</m:t>
                  </m:r>
                </m:e>
                <m:sub>
                  <m:r>
                    <m:t>X</m:t>
                  </m:r>
                </m:sub>
              </m:sSub>
            </m:sub>
            <m:sup>
              <m:r>
                <m:t>2</m:t>
              </m:r>
            </m:sup>
          </m:sSubSup>
          <m:r>
            <m:rPr>
              <m:sty m:val="p"/>
            </m:rPr>
            <m:t>≈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17</m:t>
              </m:r>
            </m:e>
          </m:d>
        </m:oMath>
      </m:oMathPara>
      <w:bookmarkEnd w:id="54"/>
    </w:p>
    <w:p>
      <w:pPr>
        <w:pStyle w:val="FirstParagraph"/>
      </w:pPr>
      <w:r>
        <w:t xml:space="preserve">While</w:t>
      </w:r>
      <w:r>
        <w:t xml:space="preserve"> </w:t>
      </w:r>
      <w:hyperlink w:anchor="eq-delta_method">
        <w:r>
          <w:rPr>
            <w:rStyle w:val="Hyperlink"/>
          </w:rPr>
          <w:t xml:space="preserve">Equation 17</w:t>
        </w:r>
      </w:hyperlink>
      <w:r>
        <w:t xml:space="preserve"> </w:t>
      </w:r>
      <w:r>
        <w:t xml:space="preserve">only explicitly contains parameters for the</w:t>
      </w:r>
      <w:r>
        <w:t xml:space="preserve"> </w:t>
      </w:r>
      <w:r>
        <w:t xml:space="preserve">observed score variance/standard deviation, the same can be done using</w:t>
      </w:r>
      <w:r>
        <w:t xml:space="preserve"> </w:t>
      </w:r>
      <w:r>
        <w:t xml:space="preserve">the true score variance/standard deviation. Using the approximates</w:t>
      </w:r>
      <w:r>
        <w:t xml:space="preserve"> </w:t>
      </w:r>
      <w:r>
        <w:t xml:space="preserve">defined in</w:t>
      </w:r>
      <w:r>
        <w:t xml:space="preserve"> </w:t>
      </w:r>
      <w:hyperlink w:anchor="eq-delta_method">
        <w:r>
          <w:rPr>
            <w:rStyle w:val="Hyperlink"/>
          </w:rPr>
          <w:t xml:space="preserve">Equation 17</w:t>
        </w:r>
      </w:hyperlink>
      <w:r>
        <w:t xml:space="preserve"> </w:t>
      </w:r>
      <w:r>
        <w:t xml:space="preserve">for observed and true score variance, we</w:t>
      </w:r>
      <w:r>
        <w:t xml:space="preserve"> </w:t>
      </w:r>
      <w:r>
        <w:t xml:space="preserve">arrive at a new inequality in</w:t>
      </w:r>
      <w:r>
        <w:t xml:space="preserve"> </w:t>
      </w:r>
      <w:hyperlink w:anchor="eq-ineq_CV">
        <w:r>
          <w:rPr>
            <w:rStyle w:val="Hyperlink"/>
          </w:rPr>
          <w:t xml:space="preserve">Equation 18</w:t>
        </w:r>
      </w:hyperlink>
      <w:r>
        <w:t xml:space="preserve">.</w:t>
      </w:r>
    </w:p>
    <w:p>
      <w:pPr>
        <w:pStyle w:val="BodyText"/>
      </w:pPr>
      <w:bookmarkStart w:id="55" w:name="eq-ineq_CV"/>
      <m:oMathPara>
        <m:oMathParaPr>
          <m:jc m:val="center"/>
        </m:oMathParaPr>
        <m:oMath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t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&gt;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18</m:t>
              </m:r>
            </m:e>
          </m:d>
        </m:oMath>
      </m:oMathPara>
      <w:bookmarkEnd w:id="55"/>
    </w:p>
    <w:p>
      <w:pPr>
        <w:pStyle w:val="FirstParagraph"/>
      </w:pPr>
      <w:hyperlink w:anchor="eq-ineq_CV">
        <w:r>
          <w:rPr>
            <w:rStyle w:val="Hyperlink"/>
          </w:rPr>
          <w:t xml:space="preserve">Equation 18</w:t>
        </w:r>
      </w:hyperlink>
      <w:r>
        <w:t xml:space="preserve"> </w:t>
      </w:r>
      <w:r>
        <w:t xml:space="preserve">describes that the heterogeneity in corrected ES is larger</w:t>
      </w:r>
      <w:r>
        <w:t xml:space="preserve"> </w:t>
      </w:r>
      <w:r>
        <w:t xml:space="preserve">than the heterogeneity in uncorrected ES, using parameters of the</w:t>
      </w:r>
      <w:r>
        <w:t xml:space="preserve"> </w:t>
      </w:r>
      <w:r>
        <w:t xml:space="preserve">distributions of mean difference MD, true score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 observed score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. By introducing the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this inequality, we can begin to disentangle which</w:t>
      </w:r>
      <w:r>
        <w:t xml:space="preserve"> </w:t>
      </w:r>
      <w:r>
        <w:t xml:space="preserve">conditions need to be fulfilled for the inequality to hold. Rearranging</w:t>
      </w:r>
      <w:r>
        <w:t xml:space="preserve"> </w:t>
      </w:r>
      <w:r>
        <w:t xml:space="preserve">the terms in</w:t>
      </w:r>
      <w:r>
        <w:t xml:space="preserve"> </w:t>
      </w:r>
      <w:hyperlink w:anchor="eq-R1">
        <w:r>
          <w:rPr>
            <w:rStyle w:val="Hyperlink"/>
          </w:rPr>
          <w:t xml:space="preserve">Equations 14</w:t>
        </w:r>
      </w:hyperlink>
      <w:r>
        <w:t xml:space="preserve"> </w:t>
      </w:r>
      <w:r>
        <w:t xml:space="preserve">and</w:t>
      </w:r>
      <w:r>
        <w:t xml:space="preserve"> </w:t>
      </w:r>
      <w:hyperlink w:anchor="eq-R2">
        <w:r>
          <w:rPr>
            <w:rStyle w:val="Hyperlink"/>
          </w:rPr>
          <w:t xml:space="preserve">15</w:t>
        </w:r>
      </w:hyperlink>
      <w:r>
        <w:t xml:space="preserve">, and subsequently entering</w:t>
      </w:r>
      <w:r>
        <w:t xml:space="preserve"> </w:t>
      </w:r>
      <w:r>
        <w:t xml:space="preserve">these terms into Equation 18 leads to the following</w:t>
      </w:r>
    </w:p>
    <w:p>
      <w:pPr>
        <w:pStyle w:val="BodyText"/>
      </w:pPr>
      <w:bookmarkStart w:id="56" w:name="eq-ineq_R"/>
      <m:oMathPara>
        <m:oMathParaPr>
          <m:jc m:val="center"/>
        </m:oMathParaPr>
        <m:oMath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R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&gt;</m:t>
          </m:r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Sup>
                <m:e>
                  <m:r>
                    <m:t>μ</m:t>
                  </m:r>
                </m:e>
                <m:sub>
                  <m:r>
                    <m:t>M</m:t>
                  </m:r>
                  <m:r>
                    <m:t>D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den>
          </m:f>
          <m:f>
            <m:fPr>
              <m:type m:val="bar"/>
            </m:fPr>
            <m:num>
              <m:sSubSup>
                <m:e>
                  <m:r>
                    <m:t>τ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  <m:sup>
                  <m:r>
                    <m:t>2</m:t>
                  </m:r>
                </m:sup>
              </m:sSubSup>
            </m:num>
            <m:den>
              <m:r>
                <m:t>4</m:t>
              </m:r>
              <m:sSub>
                <m:e>
                  <m:r>
                    <m:t>μ</m:t>
                  </m:r>
                </m:e>
                <m:sub>
                  <m:sSubSup>
                    <m:e>
                      <m:r>
                        <m:t>σ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19</m:t>
              </m:r>
            </m:e>
          </m:d>
        </m:oMath>
      </m:oMathPara>
      <w:bookmarkEnd w:id="56"/>
    </w:p>
    <w:p>
      <w:pPr>
        <w:pStyle w:val="FirstParagraph"/>
      </w:pPr>
      <w:hyperlink w:anchor="eq-ineq_R">
        <w:r>
          <w:rPr>
            <w:rStyle w:val="Hyperlink"/>
          </w:rPr>
          <w:t xml:space="preserve">Equation 19</w:t>
        </w:r>
      </w:hyperlink>
      <w:r>
        <w:t xml:space="preserve">, again, describes the inequality that heterogeneity in</w:t>
      </w:r>
      <w:r>
        <w:t xml:space="preserve"> </w:t>
      </w:r>
      <w:r>
        <w:t xml:space="preserve">corrected ES is larger than the heterogeneity in uncorrected ES,</w:t>
      </w:r>
      <w:r>
        <w:t xml:space="preserve"> </w:t>
      </w:r>
      <w:r>
        <w:t xml:space="preserve">incorporating the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 This equation alone is not</w:t>
      </w:r>
      <w:r>
        <w:t xml:space="preserve"> </w:t>
      </w:r>
      <w:r>
        <w:t xml:space="preserve">sufficient to identify the relevant circumstances required for the</w:t>
      </w:r>
      <w:r>
        <w:t xml:space="preserve"> </w:t>
      </w:r>
      <w:r>
        <w:t xml:space="preserve">inequality to hold. However, rearranging the terms from</w:t>
      </w:r>
      <w:r>
        <w:t xml:space="preserve"> </w:t>
      </w:r>
      <w:hyperlink w:anchor="eq-ineq_R">
        <w:r>
          <w:rPr>
            <w:rStyle w:val="Hyperlink"/>
          </w:rPr>
          <w:t xml:space="preserve">Equation 19</w:t>
        </w:r>
      </w:hyperlink>
      <w:r>
        <w:t xml:space="preserve"> </w:t>
      </w:r>
      <w:r>
        <w:t xml:space="preserve">leads</w:t>
      </w:r>
      <w:r>
        <w:t xml:space="preserve"> </w:t>
      </w:r>
      <w:r>
        <w:t xml:space="preserve">to</w:t>
      </w:r>
      <w:r>
        <w:t xml:space="preserve"> </w:t>
      </w:r>
      <w:hyperlink w:anchor="eq-ineq_fin">
        <w:r>
          <w:rPr>
            <w:rStyle w:val="Hyperlink"/>
          </w:rPr>
          <w:t xml:space="preserve">Equation 20</w:t>
        </w:r>
      </w:hyperlink>
      <w:r>
        <w:t xml:space="preserve">:</w:t>
      </w:r>
    </w:p>
    <w:p>
      <w:pPr>
        <w:pStyle w:val="BodyText"/>
      </w:pPr>
      <w:bookmarkStart w:id="57" w:name="eq-ineq_fin"/>
      <m:oMathPara>
        <m:oMathParaPr>
          <m:jc m:val="center"/>
        </m:oMathParaPr>
        <m:oMath>
          <m:sSubSup>
            <m:e>
              <m:r>
                <m:t>τ</m:t>
              </m:r>
            </m:e>
            <m:sub>
              <m:r>
                <m:t>M</m:t>
              </m:r>
              <m:r>
                <m:t>D</m:t>
              </m:r>
            </m:sub>
            <m:sup>
              <m:r>
                <m:t>2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+</m:t>
          </m:r>
          <m:sSubSup>
            <m:e>
              <m:r>
                <m:t>μ</m:t>
              </m:r>
            </m:e>
            <m:sub>
              <m:r>
                <m:t>M</m:t>
              </m:r>
              <m:r>
                <m:t>D</m:t>
              </m:r>
            </m:sub>
            <m:sup>
              <m:r>
                <m:t>2</m:t>
              </m:r>
            </m:sup>
          </m:sSubSup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r>
            <m:t>C</m:t>
          </m:r>
          <m:sSubSup>
            <m:e>
              <m:r>
                <m:t>V</m:t>
              </m:r>
            </m:e>
            <m:sub>
              <m:sSubSup>
                <m:e>
                  <m:r>
                    <m:t>σ</m:t>
                  </m:r>
                </m:e>
                <m:sub>
                  <m:r>
                    <m:t>X</m:t>
                  </m:r>
                </m:sub>
                <m:sup>
                  <m:r>
                    <m:t>2</m:t>
                  </m:r>
                </m:sup>
              </m:sSubSup>
            </m:sub>
            <m:sup>
              <m:r>
                <m:t>2</m:t>
              </m:r>
            </m:sup>
          </m:sSubSup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R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Sup>
                    <m:e>
                      <m:r>
                        <m:t>R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3</m:t>
                      </m:r>
                    </m:sup>
                  </m:sSubSup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&gt;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20</m:t>
              </m:r>
            </m:e>
          </m:d>
        </m:oMath>
      </m:oMathPara>
      <w:bookmarkEnd w:id="57"/>
    </w:p>
    <w:p>
      <w:pPr>
        <w:pStyle w:val="FirstParagraph"/>
      </w:pPr>
      <w:r>
        <w:t xml:space="preserve">The circumstances under which the inequality described in Equation 20</w:t>
      </w:r>
      <w:r>
        <w:t xml:space="preserve"> </w:t>
      </w:r>
      <w:r>
        <w:t xml:space="preserve">holds, are circumstances where the claims made in W&amp;D and H&amp;S are</w:t>
      </w:r>
      <w:r>
        <w:t xml:space="preserve"> </w:t>
      </w:r>
      <w:r>
        <w:t xml:space="preserve">directly contradicted, as in those cases the ES heterogeneity is larger</w:t>
      </w:r>
      <w:r>
        <w:t xml:space="preserve"> </w:t>
      </w:r>
      <w:r>
        <w:t xml:space="preserve">after applying an attenuation correction procedure. Concerning the terms</w:t>
      </w:r>
      <w:r>
        <w:t xml:space="preserve"> </w:t>
      </w:r>
      <w:r>
        <w:t xml:space="preserve">in</w:t>
      </w:r>
      <w:r>
        <w:t xml:space="preserve"> </w:t>
      </w:r>
      <w:hyperlink w:anchor="eq-ineq_fin">
        <w:r>
          <w:rPr>
            <w:rStyle w:val="Hyperlink"/>
          </w:rPr>
          <w:t xml:space="preserve">Equation 20</w:t>
        </w:r>
      </w:hyperlink>
      <w:r>
        <w:t xml:space="preserve">, we know that all terms left-hand of the inequality,</w:t>
      </w:r>
      <w:r>
        <w:t xml:space="preserve"> </w:t>
      </w:r>
      <w:r>
        <w:t xml:space="preserve">outside of the brackets (</w:t>
      </w:r>
      <m:oMath>
        <m:sSubSup>
          <m:e>
            <m:r>
              <m:t>τ</m:t>
            </m:r>
          </m:e>
          <m:sub>
            <m:r>
              <m:t>M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μ</m:t>
            </m:r>
          </m:e>
          <m:sub>
            <m:r>
              <m:t>M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sSubSup>
          <m:e>
            <m:r>
              <m:t>V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  <m:sup>
            <m:r>
              <m:t>2</m:t>
            </m:r>
          </m:sup>
        </m:sSubSup>
      </m:oMath>
      <w:r>
        <w:t xml:space="preserve">), are bound to be positive. For the inequality to</w:t>
      </w:r>
      <w:r>
        <w:t xml:space="preserve"> </w:t>
      </w:r>
      <w:r>
        <w:t xml:space="preserve">hold, we need the left-hand side of the equation to remain positive,</w:t>
      </w:r>
      <w:r>
        <w:t xml:space="preserve"> </w:t>
      </w:r>
      <w:r>
        <w:t xml:space="preserve">larger than zero. We can distill two scenarios, under which this</w:t>
      </w:r>
      <w:r>
        <w:t xml:space="preserve"> </w:t>
      </w:r>
      <w:r>
        <w:t xml:space="preserve">equation should hold: (a) one of the terms inside the brackets</w:t>
      </w:r>
      <w:r>
        <w:t xml:space="preserve"> </w:t>
      </w:r>
      <w:r>
        <w:t xml:space="preserve">(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sSubSup>
              <m:e>
                <m:r>
                  <m:t>R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−</m:t>
        </m:r>
        <m:r>
          <m:t>1</m:t>
        </m:r>
      </m:oMath>
      <w:r>
        <w:t xml:space="preserve">) is positive and large</w:t>
      </w:r>
      <w:r>
        <w:t xml:space="preserve"> </w:t>
      </w:r>
      <w:r>
        <w:t xml:space="preserve">enough, so that the second term not containing that same bracket is</w:t>
      </w:r>
      <w:r>
        <w:t xml:space="preserve"> </w:t>
      </w:r>
      <w:r>
        <w:t xml:space="preserve">positively dominated by the first term; or (b) both terms inside the</w:t>
      </w:r>
      <w:r>
        <w:t xml:space="preserve"> </w:t>
      </w:r>
      <w:r>
        <w:t xml:space="preserve">brackets need to be positive.</w:t>
      </w:r>
    </w:p>
    <w:p>
      <w:pPr>
        <w:pStyle w:val="BodyText"/>
      </w:pPr>
      <w:r>
        <w:t xml:space="preserve">Generally, we know that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bound to be positive,</w:t>
      </w:r>
      <w:r>
        <w:t xml:space="preserve"> </w:t>
      </w:r>
      <w:r>
        <w:t xml:space="preserve">as both contain different, strictly positive parameters of the</w:t>
      </w:r>
      <w:r>
        <w:t xml:space="preserve"> </w:t>
      </w:r>
      <w:r>
        <w:t xml:space="preserve">distributions of true and observed score variance. Additionally, we know</w:t>
      </w:r>
      <w:r>
        <w:t xml:space="preserve"> </w:t>
      </w:r>
      <w:r>
        <w:t xml:space="preserve">that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equivalent to the average score reliability, and therefore</w:t>
      </w:r>
      <w:r>
        <w:t xml:space="preserve"> </w:t>
      </w:r>
      <w:r>
        <w:t xml:space="preserve">bound between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. Therefore, the term inside the first</w:t>
      </w:r>
      <w:r>
        <w:t xml:space="preserve"> </w:t>
      </w:r>
      <w:r>
        <w:t xml:space="preserve">bracket is bound to be positive (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–</m:t>
        </m:r>
        <m:r>
          <m:t>1</m:t>
        </m:r>
      </m:oMath>
      <w:r>
        <w:t xml:space="preserve">). Similarly,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w:r>
        <w:t xml:space="preserve">as the ratio of true and error score variance heterogeneity, is bound</w:t>
      </w:r>
      <w:r>
        <w:t xml:space="preserve"> </w:t>
      </w:r>
      <w:r>
        <w:t xml:space="preserve">between</w:t>
      </w:r>
      <w:r>
        <w:t xml:space="preserve"> </w:t>
      </w:r>
      <m:oMath>
        <m:r>
          <m:t>0</m:t>
        </m:r>
        <m:r>
          <m:rPr>
            <m:sty m:val="p"/>
          </m:rPr>
          <m:t>≤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1</m:t>
        </m:r>
      </m:oMath>
      <w:r>
        <w:t xml:space="preserve">. If</w:t>
      </w:r>
      <w:r>
        <w:t xml:space="preserve"> </w:t>
      </w:r>
      <m:oMath>
        <m:sSubSup>
          <m:e>
            <m:r>
              <m:t>R</m:t>
            </m:r>
          </m:e>
          <m:sub>
            <m:r>
              <m:t>1</m:t>
            </m:r>
          </m:sub>
          <m:sup>
            <m:r>
              <m:t>3</m:t>
            </m:r>
          </m:sup>
        </m:sSubSup>
      </m:oMath>
      <w:r>
        <w:t xml:space="preserve"> </w:t>
      </w:r>
      <w:r>
        <w:t xml:space="preserve">is smaller than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then the term</w:t>
      </w:r>
      <w:r>
        <w:t xml:space="preserve"> </w:t>
      </w:r>
      <w:r>
        <w:t xml:space="preserve">inside the second bracket turns negative. Generally, this means that the</w:t>
      </w:r>
      <w:r>
        <w:t xml:space="preserve"> </w:t>
      </w:r>
      <w:r>
        <w:t xml:space="preserve">inequality can only be violated if the reduction in relative</w:t>
      </w:r>
      <w:r>
        <w:t xml:space="preserve"> </w:t>
      </w:r>
      <w:r>
        <w:t xml:space="preserve">heterogeneity of score variance (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) is larger than the the average</w:t>
      </w:r>
      <w:r>
        <w:t xml:space="preserve"> </w:t>
      </w:r>
      <w:r>
        <w:t xml:space="preserve">score reliability to the power of 3.</w:t>
      </w:r>
    </w:p>
    <w:p>
      <w:pPr>
        <w:pStyle w:val="BodyText"/>
      </w:pPr>
      <w:r>
        <w:t xml:space="preserve">Concerning the two scenarios, for scenario (a) to hold true, since the</w:t>
      </w:r>
      <w:r>
        <w:t xml:space="preserve"> </w:t>
      </w:r>
      <w:r>
        <w:t xml:space="preserve">term involving only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the first bracket can only be positive, the</w:t>
      </w:r>
      <w:r>
        <w:t xml:space="preserve"> </w:t>
      </w:r>
      <w:r>
        <w:t xml:space="preserve">second term involving both metrics would need to be negative. For the</w:t>
      </w:r>
      <w:r>
        <w:t xml:space="preserve"> </w:t>
      </w:r>
      <w:r>
        <w:t xml:space="preserve">first term to positively dominate the second term, however, we would</w:t>
      </w:r>
      <w:r>
        <w:t xml:space="preserve"> </w:t>
      </w:r>
      <w:r>
        <w:t xml:space="preserve">need to make additional assumptions about the size of the parameters</w:t>
      </w:r>
      <w:r>
        <w:t xml:space="preserve"> </w:t>
      </w:r>
      <w:r>
        <w:t xml:space="preserve">outside of the brackets, specifically about</w:t>
      </w:r>
      <w:r>
        <w:t xml:space="preserve"> </w:t>
      </w:r>
      <m:oMath>
        <m:sSubSup>
          <m:e>
            <m:r>
              <m:t>τ</m:t>
            </m:r>
          </m:e>
          <m:sub>
            <m:r>
              <m:t>M</m:t>
            </m:r>
            <m:r>
              <m:t>D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M</m:t>
            </m:r>
            <m:r>
              <m:t>D</m:t>
            </m:r>
          </m:sub>
        </m:sSub>
      </m:oMath>
      <w:r>
        <w:t xml:space="preserve">. This is something we would prefer to avoid, as it involves</w:t>
      </w:r>
      <w:r>
        <w:t xml:space="preserve"> </w:t>
      </w:r>
      <w:r>
        <w:t xml:space="preserve">additional assumptions about the individual raw effect sizes of the</w:t>
      </w:r>
      <w:r>
        <w:t xml:space="preserve"> </w:t>
      </w:r>
      <w:r>
        <w:t xml:space="preserve">different phenomena. Additionally, it can be said that as long as the</w:t>
      </w:r>
      <w:r>
        <w:t xml:space="preserve"> </w:t>
      </w:r>
      <w:r>
        <w:t xml:space="preserve">term in the second bracket involving both metrics is positive, scenario</w:t>
      </w:r>
      <w:r>
        <w:t xml:space="preserve"> </w:t>
      </w:r>
      <w:r>
        <w:t xml:space="preserve">(b) is true by default. This occurs any time</w:t>
      </w:r>
      <w:r>
        <w:t xml:space="preserve"> </w:t>
      </w:r>
      <m:oMath>
        <m:sSubSup>
          <m:e>
            <m:r>
              <m:t>R</m:t>
            </m:r>
          </m:e>
          <m:sub>
            <m:r>
              <m:t>1</m:t>
            </m:r>
          </m:sub>
          <m:sup>
            <m:r>
              <m:t>3</m:t>
            </m:r>
          </m:sup>
        </m:sSubSup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 For example,</w:t>
      </w:r>
      <w:r>
        <w:t xml:space="preserve"> </w:t>
      </w:r>
      <w:r>
        <w:t xml:space="preserve">assuming the average score reliability is about .8, if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at least</w:t>
      </w:r>
      <w:r>
        <w:t xml:space="preserve"> </w:t>
      </w:r>
      <w:r>
        <w:t xml:space="preserve">.512 or larger, the inequality holds true and ES heterogeneity grows</w:t>
      </w:r>
      <w:r>
        <w:t xml:space="preserve"> </w:t>
      </w:r>
      <w:r>
        <w:t xml:space="preserve">larger as a consequence of the attenuation correction procedure,</w:t>
      </w:r>
      <w:r>
        <w:t xml:space="preserve"> </w:t>
      </w:r>
      <w:r>
        <w:t xml:space="preserve">contrary to claims made in W&amp;D and H&amp;S. This means that for the</w:t>
      </w:r>
      <w:r>
        <w:t xml:space="preserve"> </w:t>
      </w:r>
      <w:r>
        <w:t xml:space="preserve">exemplary score reliability of .8, a reduction in relative heterogeneity</w:t>
      </w:r>
      <w:r>
        <w:t xml:space="preserve"> </w:t>
      </w:r>
      <w:r>
        <w:t xml:space="preserve">in score variance of 48.8% (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–</m:t>
            </m:r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d>
        <m:r>
          <m:t>100</m:t>
        </m:r>
        <m:r>
          <m:rPr>
            <m:sty m:val="p"/>
          </m:rPr>
          <m:t>%</m:t>
        </m:r>
      </m:oMath>
      <w:r>
        <w:t xml:space="preserve">) or more is necessary for</w:t>
      </w:r>
      <w:r>
        <w:t xml:space="preserve"> </w:t>
      </w:r>
      <w:r>
        <w:t xml:space="preserve">scenario (b) to no longer be true. The smaller the average score</w:t>
      </w:r>
      <w:r>
        <w:t xml:space="preserve"> </w:t>
      </w:r>
      <w:r>
        <w:t xml:space="preserve">reliability, the smaller the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-metric may be for the inequality to</w:t>
      </w:r>
      <w:r>
        <w:t xml:space="preserve"> </w:t>
      </w:r>
      <w:r>
        <w:t xml:space="preserve">still hold true.</w:t>
      </w:r>
    </w:p>
    <w:p>
      <w:pPr>
        <w:pStyle w:val="BodyText"/>
      </w:pPr>
      <w:r>
        <w:t xml:space="preserve">Keeping this in mind, even if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smaller than .512, it does not</w:t>
      </w:r>
      <w:r>
        <w:t xml:space="preserve"> </w:t>
      </w:r>
      <w:r>
        <w:t xml:space="preserve">immediately imply that ES heterogeneity is smaller in</w:t>
      </w:r>
      <w:r>
        <w:t xml:space="preserve"> </w:t>
      </w:r>
      <m:oMath>
        <m:r>
          <m:t>δ</m:t>
        </m:r>
      </m:oMath>
      <w:r>
        <w:t xml:space="preserve">. For</w:t>
      </w:r>
      <w:r>
        <w:t xml:space="preserve"> </w:t>
      </w:r>
      <w:r>
        <w:t xml:space="preserve">example, it is unlikely that an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.5</m:t>
        </m:r>
      </m:oMath>
      <w:r>
        <w:t xml:space="preserve"> </w:t>
      </w:r>
      <w:r>
        <w:t xml:space="preserve">leads to a term that is not</w:t>
      </w:r>
      <w:r>
        <w:t xml:space="preserve"> </w:t>
      </w:r>
      <w:r>
        <w:t xml:space="preserve">positively dominated by the first term involving only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. However,</w:t>
      </w:r>
      <w:r>
        <w:t xml:space="preserve"> </w:t>
      </w:r>
      <w:r>
        <w:t xml:space="preserve">where exactly the cut-off is, where ES heterogeneity starts shrinking</w:t>
      </w:r>
      <w:r>
        <w:t xml:space="preserve"> </w:t>
      </w:r>
      <w:r>
        <w:t xml:space="preserve">due to the attenuation correction procedure, can not be easily defined</w:t>
      </w:r>
      <w:r>
        <w:t xml:space="preserve"> </w:t>
      </w:r>
      <w:r>
        <w:t xml:space="preserve">without additional assumptions about the distribution of</w:t>
      </w:r>
      <w:r>
        <w:t xml:space="preserve"> </w:t>
      </w:r>
      <m:oMath>
        <m:r>
          <m:t>M</m:t>
        </m:r>
        <m:r>
          <m:t>D</m:t>
        </m:r>
      </m:oMath>
      <w:r>
        <w:t xml:space="preserve">.</w:t>
      </w:r>
    </w:p>
    <w:p>
      <w:pPr>
        <w:pStyle w:val="BodyText"/>
      </w:pPr>
      <w:r>
        <w:t xml:space="preserve">Generally speaking, the attenuation correction leads to a reduction both</w:t>
      </w:r>
      <w:r>
        <w:t xml:space="preserve"> </w:t>
      </w:r>
      <w:r>
        <w:t xml:space="preserve">in mean value of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 in its heterogeneity. While a</w:t>
      </w:r>
      <w:r>
        <w:t xml:space="preserve"> </w:t>
      </w:r>
      <w:r>
        <w:t xml:space="preserve">reduction in the former typically leads to an increase in heterogeneity</w:t>
      </w:r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d</m:t>
            </m:r>
          </m:e>
          <m:sub>
            <m:r>
              <m:t>c</m:t>
            </m:r>
          </m:sub>
        </m:sSub>
      </m:oMath>
      <w:r>
        <w:t xml:space="preserve">, the latter has the potential to compensate for that increase</w:t>
      </w:r>
      <w:r>
        <w:t xml:space="preserve"> </w:t>
      </w:r>
      <w:r>
        <w:t xml:space="preserve">and thereby reduce that heterogeneity after the attenuation correction.</w:t>
      </w:r>
      <w:r>
        <w:t xml:space="preserve"> </w:t>
      </w:r>
      <w:r>
        <w:t xml:space="preserve">This reduction in ES heterogeneity can only occur, if the reduction in</w:t>
      </w:r>
      <w:r>
        <w:t xml:space="preserve"> </w:t>
      </w:r>
      <w:r>
        <w:t xml:space="preserve">score variance heterogeneity is substantially stronger than the</w:t>
      </w:r>
      <w:r>
        <w:t xml:space="preserve"> </w:t>
      </w:r>
      <w:r>
        <w:t xml:space="preserve">reduction in mean score variance. An extreme version of such a situation</w:t>
      </w:r>
      <w:r>
        <w:t xml:space="preserve"> </w:t>
      </w:r>
      <w:r>
        <w:t xml:space="preserve">might occur, if the true score variance is identical across all samples.</w:t>
      </w:r>
      <w:r>
        <w:t xml:space="preserve"> </w:t>
      </w:r>
      <w:r>
        <w:t xml:space="preserve">This would imply that all heterogeneity in score variance identified can</w:t>
      </w:r>
      <w:r>
        <w:t xml:space="preserve"> </w:t>
      </w:r>
      <w:r>
        <w:t xml:space="preserve">be attributed to differences in how much random noise is found in the</w:t>
      </w:r>
      <w:r>
        <w:t xml:space="preserve"> </w:t>
      </w:r>
      <w:r>
        <w:t xml:space="preserve">scores across the samples. In such a case,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would be zero and a</w:t>
      </w:r>
      <w:r>
        <w:t xml:space="preserve"> </w:t>
      </w:r>
      <w:r>
        <w:t xml:space="preserve">reduction in ES heterogeneity due to the attenuation correction would be</w:t>
      </w:r>
      <w:r>
        <w:t xml:space="preserve"> </w:t>
      </w:r>
      <w:r>
        <w:t xml:space="preserve">guaranteed. This also implies that the lower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the larger the</w:t>
      </w:r>
      <w:r>
        <w:t xml:space="preserve"> </w:t>
      </w:r>
      <w:r>
        <w:t xml:space="preserve">average score reliability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, the more likely it is that the</w:t>
      </w:r>
      <w:r>
        <w:t xml:space="preserve"> </w:t>
      </w:r>
      <w:r>
        <w:t xml:space="preserve">attenuation correction actually does lead to a reduction in ES</w:t>
      </w:r>
      <w:r>
        <w:t xml:space="preserve"> </w:t>
      </w:r>
      <w:r>
        <w:t xml:space="preserve">heterogeneity.</w:t>
      </w:r>
    </w:p>
    <w:bookmarkEnd w:id="58"/>
    <w:bookmarkStart w:id="60" w:name="re-analysis-of-archival-data-1"/>
    <w:p>
      <w:pPr>
        <w:pStyle w:val="Heading3"/>
      </w:pPr>
      <w:r>
        <w:t xml:space="preserve">Re-analysis of archival data</w:t>
      </w:r>
    </w:p>
    <w:p>
      <w:pPr>
        <w:pStyle w:val="FirstParagraph"/>
      </w:pPr>
      <w:hyperlink w:anchor="tbl-tau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showed that for all phenomena, where we identified</w:t>
      </w:r>
      <w:r>
        <w:t xml:space="preserve"> </w:t>
      </w:r>
      <w:r>
        <w:t xml:space="preserve">statistically significant ES heterogeneity, the heterogeneity was even</w:t>
      </w:r>
      <w:r>
        <w:t xml:space="preserve"> </w:t>
      </w:r>
      <w:r>
        <w:t xml:space="preserve">larger after the attenuation correction procedure. Subsequently, in</w:t>
      </w:r>
      <w:r>
        <w:t xml:space="preserve"> </w:t>
      </w:r>
      <w:r>
        <w:t xml:space="preserve">Equation 16 we demonstrate that if the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metric is larger than</w:t>
      </w:r>
      <w:r>
        <w:t xml:space="preserve"> </w:t>
      </w:r>
      <m:oMath>
        <m:sSubSup>
          <m:e>
            <m:r>
              <m:t>R</m:t>
            </m:r>
          </m:e>
          <m:sub>
            <m:r>
              <m:t>1</m:t>
            </m:r>
          </m:sub>
          <m:sup>
            <m:r>
              <m:t>3</m:t>
            </m:r>
          </m:sup>
        </m:sSubSup>
      </m:oMath>
      <w:r>
        <w:t xml:space="preserve">, ES heterogeneity is bound to be larger after applying said</w:t>
      </w:r>
      <w:r>
        <w:t xml:space="preserve"> </w:t>
      </w:r>
      <w:r>
        <w:t xml:space="preserve">procedure.</w:t>
      </w:r>
      <w:r>
        <w:t xml:space="preserve"> </w:t>
      </w:r>
      <w:hyperlink w:anchor="tbl-R1R2">
        <w:r>
          <w:rPr>
            <w:rStyle w:val="Hyperlink"/>
          </w:rPr>
          <w:t xml:space="preserve">Table 4</w:t>
        </w:r>
      </w:hyperlink>
      <w:r>
        <w:t xml:space="preserve"> </w:t>
      </w:r>
      <w:r>
        <w:t xml:space="preserve">reports the meta-analytic estimates of observed and</w:t>
      </w:r>
      <w:r>
        <w:t xml:space="preserve"> </w:t>
      </w:r>
      <w:r>
        <w:t xml:space="preserve">true score variances, including their heterogeneity and metrics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across all 12 phenomena. In</w:t>
      </w:r>
      <w:r>
        <w:t xml:space="preserve"> </w:t>
      </w:r>
      <w:hyperlink w:anchor="tbl-R1R2">
        <w:r>
          <w:rPr>
            <w:rStyle w:val="Hyperlink"/>
          </w:rPr>
          <w:t xml:space="preserve">Table 4</w:t>
        </w:r>
      </w:hyperlink>
      <w:r>
        <w:t xml:space="preserve"> </w:t>
      </w:r>
      <w:r>
        <w:t xml:space="preserve">we see that for ten out</w:t>
      </w:r>
      <w:r>
        <w:t xml:space="preserve"> </w:t>
      </w:r>
      <w:r>
        <w:t xml:space="preserve">of 12 phenomena, the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metric is larger than the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metric.</w:t>
      </w:r>
      <w:r>
        <w:t xml:space="preserve"> </w:t>
      </w:r>
      <w:r>
        <w:t xml:space="preserve">Additionally, we observe that across nine phenomena,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larger</w:t>
      </w:r>
      <w:r>
        <w:t xml:space="preserve"> </w:t>
      </w:r>
      <w:r>
        <w:t xml:space="preserve">than .97. This implies that of the heterogeneity observed in score</w:t>
      </w:r>
      <w:r>
        <w:t xml:space="preserve"> </w:t>
      </w:r>
      <w:r>
        <w:t xml:space="preserve">variances, 97% or more could not be explained by differences in random</w:t>
      </w:r>
      <w:r>
        <w:t xml:space="preserve"> </w:t>
      </w:r>
      <w:r>
        <w:t xml:space="preserve">error introduced by the measuring instrument, but by genuine differences</w:t>
      </w:r>
      <w:r>
        <w:t xml:space="preserve"> </w:t>
      </w:r>
      <w:r>
        <w:t xml:space="preserve">in the underlying distribution. Next to the two exceptional phenomena,</w:t>
      </w:r>
      <w:r>
        <w:t xml:space="preserve"> </w:t>
      </w:r>
      <w:r>
        <w:t xml:space="preserve">where zero heterogeneity in score variance was found</w:t>
      </w:r>
      <w:r>
        <w:t xml:space="preserve"> </w:t>
      </w:r>
      <w:r>
        <w:t xml:space="preserve">(Alter_Analytic_Processing and Shnabel_Willingness_Reconcile_Rev), only</w:t>
      </w:r>
      <w:r>
        <w:t xml:space="preserve"> </w:t>
      </w:r>
      <w:r>
        <w:t xml:space="preserve">for the Srull_Ronald_Hostility phenomenon some heterogeneity could be</w:t>
      </w:r>
      <w:r>
        <w:t xml:space="preserve"> </w:t>
      </w:r>
      <w:r>
        <w:t xml:space="preserve">attributed to differences in random error variance, albeit less than</w:t>
      </w:r>
      <w:r>
        <w:t xml:space="preserve"> </w:t>
      </w:r>
      <w:r>
        <w:t xml:space="preserve">14%.</w:t>
      </w:r>
    </w:p>
    <w:p>
      <w:pPr>
        <w:pStyle w:val="BodyText"/>
      </w:pPr>
      <w:r>
        <w:t xml:space="preserve">This implies that for all measurements concerning these phenomena, the</w:t>
      </w:r>
      <w:r>
        <w:t xml:space="preserve"> </w:t>
      </w:r>
      <w:r>
        <w:t xml:space="preserve">heterogeneity in observed score variances could not be substantially</w:t>
      </w:r>
      <w:r>
        <w:t xml:space="preserve"> </w:t>
      </w:r>
      <w:r>
        <w:t xml:space="preserve">explained by differences in measurement quality. For no phenomenon, if</w:t>
      </w:r>
      <w:r>
        <w:t xml:space="preserve"> </w:t>
      </w:r>
      <w:r>
        <w:t xml:space="preserve">differences in score variance could be found, was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smaller than</w:t>
      </w:r>
      <w:r>
        <w:t xml:space="preserve"> </w:t>
      </w:r>
      <m:oMath>
        <m:sSubSup>
          <m:e>
            <m:r>
              <m:t>R</m:t>
            </m:r>
          </m:e>
          <m:sub>
            <m:r>
              <m:t>1</m:t>
            </m:r>
          </m:sub>
          <m:sup>
            <m:r>
              <m:t>3</m:t>
            </m:r>
          </m:sup>
        </m:sSubSup>
      </m:oMath>
      <w:r>
        <w:t xml:space="preserve">. As demonstrated in Equation 20, this implies that the ES</w:t>
      </w:r>
      <w:r>
        <w:t xml:space="preserve"> </w:t>
      </w:r>
      <w:r>
        <w:t xml:space="preserve">heterogeneity grows even larger, as we correct for differences in score</w:t>
      </w:r>
      <w:r>
        <w:t xml:space="preserve"> </w:t>
      </w:r>
      <w:r>
        <w:t xml:space="preserve">reliability.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9" w:name="tbl-R1R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Re-analysis concerning metrics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R</m:t>
                  </m:r>
                </m:e>
                <m:sub>
                  <m:r>
                    <m:t>2</m:t>
                  </m:r>
                </m:sub>
              </m:sSub>
            </m:oMath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904"/>
              <w:gridCol w:w="669"/>
              <w:gridCol w:w="669"/>
              <w:gridCol w:w="669"/>
              <w:gridCol w:w="669"/>
              <w:gridCol w:w="669"/>
              <w:gridCol w:w="669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MASC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mu_X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mu_T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tau_X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tau_T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R1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R2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Albarracin_Priming_SAT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0.995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Alter_Analytic_Processing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0.166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0.632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-Inf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Hart_Criminal_Intentionality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2.201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1.871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0.754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0.970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Husnu_Imagined_Contact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3.324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2.712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0.472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0.469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0.816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0.987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Nosek_Explicit_Art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0.927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0.887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Nosek_Explicit_Math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1.732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1.621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0.109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0.935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0.983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PSACR001_anxiety_int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1.149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1.040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0.247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0.966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PSACR002_neg_photo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0.603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0.481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0.131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0.131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0.799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0.986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Shnabel_Willingness_Reconcile_Rev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1.051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0.874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NA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0.832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-Inf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Shnabel_Willingness_Reconcile_RPP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0.901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0.700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0.192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0.191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0.989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Srull_Ronald_Hostility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1.877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1.387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0.328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0.739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0.865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Tversky_Directionality_Similarity1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4.498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3.858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1.259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1.252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0.858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0.989</w:t>
                  </w:r>
                </w:p>
              </w:tc>
            </w:tr>
          </w:tbl>
          <w:bookmarkEnd w:id="59"/>
          <w:p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tbl-tau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we also found some phenomena where the heterogeneity did</w:t>
      </w:r>
      <w:r>
        <w:t xml:space="preserve"> </w:t>
      </w:r>
      <w:r>
        <w:t xml:space="preserve">in fact shrink after applying the attenuation correction procedure. This</w:t>
      </w:r>
      <w:r>
        <w:t xml:space="preserve"> </w:t>
      </w:r>
      <w:r>
        <w:t xml:space="preserve">is not reflected by what we observe in</w:t>
      </w:r>
      <w:r>
        <w:t xml:space="preserve"> </w:t>
      </w:r>
      <w:hyperlink w:anchor="tbl-R1R2">
        <w:r>
          <w:rPr>
            <w:rStyle w:val="Hyperlink"/>
          </w:rPr>
          <w:t xml:space="preserve">Table 4</w:t>
        </w:r>
      </w:hyperlink>
      <w:r>
        <w:t xml:space="preserve">, as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w:r>
        <w:t xml:space="preserve">almost all phenomena, which would imply that across all phenomena we</w:t>
      </w:r>
      <w:r>
        <w:t xml:space="preserve"> </w:t>
      </w:r>
      <w:r>
        <w:t xml:space="preserve">expected ES heterogeneity to grow as a consequence of the attenuation</w:t>
      </w:r>
      <w:r>
        <w:t xml:space="preserve"> </w:t>
      </w:r>
      <w:r>
        <w:t xml:space="preserve">correction procedure. However, it is crucial to realise that we did not</w:t>
      </w:r>
      <w:r>
        <w:t xml:space="preserve"> </w:t>
      </w:r>
      <w:r>
        <w:t xml:space="preserve">find statistically significant ES heterogeneity for any of the phenomena</w:t>
      </w:r>
      <w:r>
        <w:t xml:space="preserve"> </w:t>
      </w:r>
      <w:r>
        <w:t xml:space="preserve">where ES heterogeneity was reduced. This implies, that we actually could</w:t>
      </w:r>
      <w:r>
        <w:t xml:space="preserve"> </w:t>
      </w:r>
      <w:r>
        <w:t xml:space="preserve">not statistically distinguish the ES heterogeneity from zero. Therefore,</w:t>
      </w:r>
      <w:r>
        <w:t xml:space="preserve"> </w:t>
      </w:r>
      <w:r>
        <w:t xml:space="preserve">what seems to be a reduction in ES heterogeneity was most likely caused</w:t>
      </w:r>
      <w:r>
        <w:t xml:space="preserve"> </w:t>
      </w:r>
      <w:r>
        <w:t xml:space="preserve">by estimation issues, as we could not accurately estimate the extent of</w:t>
      </w:r>
      <w:r>
        <w:t xml:space="preserve"> </w:t>
      </w:r>
      <w:r>
        <w:t xml:space="preserve">ES heterogeneity, either before or after the attenuation correction.</w:t>
      </w:r>
    </w:p>
    <w:p>
      <w:pPr>
        <w:pStyle w:val="BodyText"/>
      </w:pPr>
      <w:r>
        <w:t xml:space="preserve">Lastly, for two out of the 12 phenomena, we find a</w:t>
      </w:r>
      <w:r>
        <w:t xml:space="preserve"> </w:t>
      </w:r>
      <m:oMath>
        <m:sSub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</m:sSub>
      </m:oMath>
      <w:r>
        <w:t xml:space="preserve"> </w:t>
      </w:r>
      <w:r>
        <w:t xml:space="preserve">of 0. For these phenomena, it is therefore also impossible to compute</w:t>
      </w:r>
      <w:r>
        <w:t xml:space="preserve"> </w:t>
      </w:r>
      <w:r>
        <w:t xml:space="preserve">the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metric. While for the Alter_Analytic_Processing phenomenon we</w:t>
      </w:r>
      <w:r>
        <w:t xml:space="preserve"> </w:t>
      </w:r>
      <w:r>
        <w:t xml:space="preserve">did not identify statistically significant ES heterogeneity in the first</w:t>
      </w:r>
      <w:r>
        <w:t xml:space="preserve"> </w:t>
      </w:r>
      <w:r>
        <w:t xml:space="preserve">place, we did find some for the Shnabel_Willingness_Reconcile_Rev</w:t>
      </w:r>
      <w:r>
        <w:t xml:space="preserve"> </w:t>
      </w:r>
      <w:r>
        <w:t xml:space="preserve">phenomenon. At the same time, we did not identify statistically</w:t>
      </w:r>
      <w:r>
        <w:t xml:space="preserve"> </w:t>
      </w:r>
      <w:r>
        <w:t xml:space="preserve">significant heterogeneity in score reliability. With zero heterogeneity</w:t>
      </w:r>
      <w:r>
        <w:t xml:space="preserve"> </w:t>
      </w:r>
      <w:r>
        <w:t xml:space="preserve">in score variances, Equation 13 implies that the ES heterogeneity is</w:t>
      </w:r>
      <w:r>
        <w:t xml:space="preserve"> </w:t>
      </w:r>
      <w:r>
        <w:t xml:space="preserve">bound to grow larger due to the attenuation procedure. Also, this</w:t>
      </w:r>
      <w:r>
        <w:t xml:space="preserve"> </w:t>
      </w:r>
      <w:r>
        <w:t xml:space="preserve">phenomenon was assessed with a particularly low number of replications</w:t>
      </w:r>
      <w:r>
        <w:t xml:space="preserve"> </w:t>
      </w:r>
      <w:r>
        <w:t xml:space="preserve">(8). Most likely, adequate power to detect heterogeneity in score</w:t>
      </w:r>
      <w:r>
        <w:t xml:space="preserve"> </w:t>
      </w:r>
      <w:r>
        <w:t xml:space="preserve">reliability and observed score variance requires a larger number of</w:t>
      </w:r>
      <w:r>
        <w:t xml:space="preserve"> </w:t>
      </w:r>
      <w:r>
        <w:t xml:space="preserve">replications than adequate power to detect heterogeneity. In that case,</w:t>
      </w:r>
      <w:r>
        <w:t xml:space="preserve"> </w:t>
      </w:r>
      <w:r>
        <w:t xml:space="preserve">the results from Table 5, concerning the</w:t>
      </w:r>
      <w:r>
        <w:t xml:space="preserve"> </w:t>
      </w:r>
      <w:r>
        <w:t xml:space="preserve">Shnabel_Willingness_Reconcile_Rev phenomenon might alternatively be</w:t>
      </w:r>
      <w:r>
        <w:t xml:space="preserve"> </w:t>
      </w:r>
      <w:r>
        <w:t xml:space="preserve">explained by power-issues. Similarly, while Table 3 does not imply</w:t>
      </w:r>
      <w:r>
        <w:t xml:space="preserve"> </w:t>
      </w:r>
      <w:r>
        <w:t xml:space="preserve">specific expectations concerning the presence of score variance</w:t>
      </w:r>
      <w:r>
        <w:t xml:space="preserve"> </w:t>
      </w:r>
      <w:r>
        <w:t xml:space="preserve">heterogeneity in the Alter_Analytic_Processing phenomenon, the low</w:t>
      </w:r>
      <w:r>
        <w:t xml:space="preserve"> </w:t>
      </w:r>
      <w:r>
        <w:t xml:space="preserve">number of replications (20) makes it hard to distinguish whether the</w:t>
      </w:r>
      <w:r>
        <w:t xml:space="preserve"> </w:t>
      </w:r>
      <w:r>
        <w:t xml:space="preserve">estimate of</w:t>
      </w:r>
      <w:r>
        <w:t xml:space="preserve"> </w:t>
      </w:r>
      <m:oMath>
        <m:sSub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 actually sensible or can also be</w:t>
      </w:r>
      <w:r>
        <w:t xml:space="preserve"> </w:t>
      </w:r>
      <w:r>
        <w:t xml:space="preserve">attributed to low power.</w:t>
      </w:r>
    </w:p>
    <w:bookmarkEnd w:id="60"/>
    <w:bookmarkEnd w:id="61"/>
    <w:bookmarkStart w:id="62" w:name="discussion"/>
    <w:p>
      <w:pPr>
        <w:pStyle w:val="Heading2"/>
      </w:pPr>
      <w:r>
        <w:t xml:space="preserve">Discussion</w:t>
      </w:r>
    </w:p>
    <w:p>
      <w:pPr>
        <w:pStyle w:val="FirstParagraph"/>
      </w:pPr>
      <w:r>
        <w:t xml:space="preserve">Across twelve exemplary archival datasets, we demonstrated that claims</w:t>
      </w:r>
      <w:r>
        <w:t xml:space="preserve"> </w:t>
      </w:r>
      <w:r>
        <w:t xml:space="preserve">made in H&amp;S and W&amp;D do not hold in empirical observations. Even though</w:t>
      </w:r>
      <w:r>
        <w:t xml:space="preserve"> </w:t>
      </w:r>
      <w:r>
        <w:t xml:space="preserve">removing the impact of score reliability on ES heterogeneity by means of</w:t>
      </w:r>
      <w:r>
        <w:t xml:space="preserve"> </w:t>
      </w:r>
      <w:r>
        <w:t xml:space="preserve">attenuation correction procedures, they do not lead to a reduction in</w:t>
      </w:r>
      <w:r>
        <w:t xml:space="preserve"> </w:t>
      </w:r>
      <w:r>
        <w:t xml:space="preserve">heterogeneity as claimed in H&amp;S and W&amp;D. Inferences derived from the</w:t>
      </w:r>
      <w:r>
        <w:t xml:space="preserve"> </w:t>
      </w:r>
      <w:r>
        <w:t xml:space="preserve">equation supplied in H&amp;S (ref),</w:t>
      </w:r>
      <w:r>
        <w:t xml:space="preserve"> </w:t>
      </w:r>
      <w:hyperlink w:anchor="eq-HS">
        <w:r>
          <w:rPr>
            <w:rStyle w:val="Hyperlink"/>
          </w:rPr>
          <w:t xml:space="preserve">Equation 9</w:t>
        </w:r>
      </w:hyperlink>
      <w:r>
        <w:t xml:space="preserve">, also do not warrant such a</w:t>
      </w:r>
      <w:r>
        <w:t xml:space="preserve"> </w:t>
      </w:r>
      <w:r>
        <w:t xml:space="preserve">conclusion. Alternatively, describing standardised effect sizes in terms</w:t>
      </w:r>
      <w:r>
        <w:t xml:space="preserve"> </w:t>
      </w:r>
      <w:r>
        <w:t xml:space="preserve">of a ratio distribution and approximating its variance, we demonstrated</w:t>
      </w:r>
      <w:r>
        <w:t xml:space="preserve"> </w:t>
      </w:r>
      <w:r>
        <w:t xml:space="preserve">that differences in score reliability may both inflate or deflate</w:t>
      </w:r>
      <w:r>
        <w:t xml:space="preserve"> </w:t>
      </w:r>
      <w:r>
        <w:t xml:space="preserve">variance in ES, depending on how the relative heterogeneity in score</w:t>
      </w:r>
      <w:r>
        <w:t xml:space="preserve"> </w:t>
      </w:r>
      <w:r>
        <w:t xml:space="preserve">variance changes due to the attenuation correction procedure. The metric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, compared with the metric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 the average score reliability,</w:t>
      </w:r>
      <w:r>
        <w:t xml:space="preserve"> </w:t>
      </w:r>
      <w:r>
        <w:t xml:space="preserve">informs us in how far score variance heterogeneity decreases due to the</w:t>
      </w:r>
      <w:r>
        <w:t xml:space="preserve"> </w:t>
      </w:r>
      <w:r>
        <w:t xml:space="preserve">attenuation correction.</w:t>
      </w:r>
    </w:p>
    <w:p>
      <w:pPr>
        <w:pStyle w:val="BodyText"/>
      </w:pPr>
      <w:r>
        <w:t xml:space="preserve">These results fit in with work recently published/preprinted by</w:t>
      </w:r>
      <w:r>
        <w:t xml:space="preserve"> </w:t>
      </w:r>
      <w:r>
        <w:t xml:space="preserve">Olsson-Collentine et al. (2023). In a large simulation scheme, they</w:t>
      </w:r>
      <w:r>
        <w:t xml:space="preserve"> </w:t>
      </w:r>
      <w:r>
        <w:t xml:space="preserve">demonstrate that differences in score reliability across administrations</w:t>
      </w:r>
      <w:r>
        <w:t xml:space="preserve"> </w:t>
      </w:r>
      <w:r>
        <w:t xml:space="preserve">typically deflate heterogeneity in uncorrected correlations. Only as the</w:t>
      </w:r>
      <w:r>
        <w:t xml:space="preserve"> </w:t>
      </w:r>
      <w:r>
        <w:t xml:space="preserve">true heterogeneity in correlations grows larger, score reliability</w:t>
      </w:r>
      <w:r>
        <w:t xml:space="preserve"> </w:t>
      </w:r>
      <w:r>
        <w:t xml:space="preserve">differences actually inflate heterogeneity as claimed in W&amp;D. While</w:t>
      </w:r>
      <w:r>
        <w:t xml:space="preserve"> </w:t>
      </w:r>
      <w:r>
        <w:t xml:space="preserve">correlations and standardized effect sizes are not identical, the way</w:t>
      </w:r>
      <w:r>
        <w:t xml:space="preserve"> </w:t>
      </w:r>
      <w:r>
        <w:t xml:space="preserve">score (un)reliability affects these parameters is highly similar. Both</w:t>
      </w:r>
      <w:r>
        <w:t xml:space="preserve"> </w:t>
      </w:r>
      <w:r>
        <w:t xml:space="preserve">correlations and ES are deflated by (un)reliability, implying that an</w:t>
      </w:r>
      <w:r>
        <w:t xml:space="preserve"> </w:t>
      </w:r>
      <w:r>
        <w:t xml:space="preserve">attenuation correction increases mean values of these parameters, while</w:t>
      </w:r>
      <w:r>
        <w:t xml:space="preserve"> </w:t>
      </w:r>
      <w:r>
        <w:t xml:space="preserve">the impact on standard deviations used for standardisation purposes</w:t>
      </w:r>
      <w:r>
        <w:t xml:space="preserve"> </w:t>
      </w:r>
      <w:r>
        <w:t xml:space="preserve">needs to be checked via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 analytical arguments presented indicate that an attenuation</w:t>
      </w:r>
      <w:r>
        <w:t xml:space="preserve"> </w:t>
      </w:r>
      <w:r>
        <w:t xml:space="preserve">correction procedure, even if no differences between score reliability</w:t>
      </w:r>
      <w:r>
        <w:t xml:space="preserve"> </w:t>
      </w:r>
      <w:r>
        <w:t xml:space="preserve">exist, lead to larger ES heterogeneity. It appears that, as the</w:t>
      </w:r>
      <w:r>
        <w:t xml:space="preserve"> </w:t>
      </w:r>
      <w:r>
        <w:t xml:space="preserve">meta-analytical mean ES grows larger due to the correction procedure, so</w:t>
      </w:r>
      <w:r>
        <w:t xml:space="preserve"> </w:t>
      </w:r>
      <w:r>
        <w:t xml:space="preserve">does the ES heterogeneity, if homogeneity is present. If heterogeneity</w:t>
      </w:r>
      <w:r>
        <w:t xml:space="preserve"> </w:t>
      </w:r>
      <w:r>
        <w:t xml:space="preserve">is present on the other hand 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Sup>
          <m:e>
            <m:r>
              <m:t>R</m:t>
            </m:r>
          </m:e>
          <m:sub>
            <m:r>
              <m:t>1</m:t>
            </m:r>
          </m:sub>
          <m:sup>
            <m:r>
              <m:t>3</m:t>
            </m:r>
          </m:sup>
        </m:sSubSup>
      </m:oMath>
      <w:r>
        <w:t xml:space="preserve">, still a reduction in ES</w:t>
      </w:r>
      <w:r>
        <w:t xml:space="preserve"> </w:t>
      </w:r>
      <w:r>
        <w:t xml:space="preserve">heterogeneity is not inevitable. It can be argued that, for the</w:t>
      </w:r>
      <w:r>
        <w:t xml:space="preserve"> </w:t>
      </w:r>
      <w:r>
        <w:t xml:space="preserve">differences in ES to grow smaller, the reduction in relative</w:t>
      </w:r>
      <w:r>
        <w:t xml:space="preserve"> </w:t>
      </w:r>
      <w:r>
        <w:t xml:space="preserve">heterogeneity in score variance needs to be substantially large, so the</w:t>
      </w:r>
      <w:r>
        <w:t xml:space="preserve"> </w:t>
      </w:r>
      <w:r>
        <w:t xml:space="preserve">increase in ES heterogeneity due to the larger mean ES can be</w:t>
      </w:r>
      <w:r>
        <w:t xml:space="preserve"> </w:t>
      </w:r>
      <w:r>
        <w:t xml:space="preserve">“</w:t>
      </w:r>
      <w:r>
        <w:t xml:space="preserve">outpaced</w:t>
      </w:r>
      <w:r>
        <w:t xml:space="preserve">”</w:t>
      </w:r>
      <w:r>
        <w:t xml:space="preserve">. However, we did not observe this pattern in the 12 phenomena</w:t>
      </w:r>
      <w:r>
        <w:t xml:space="preserve"> </w:t>
      </w:r>
      <w:r>
        <w:t xml:space="preserve">that allowed for such an analysis.</w:t>
      </w:r>
    </w:p>
    <w:p>
      <w:pPr>
        <w:pStyle w:val="BodyText"/>
      </w:pPr>
      <w:r>
        <w:t xml:space="preserve">Heterogeneity in ES even in direct replications, where experimental</w:t>
      </w:r>
      <w:r>
        <w:t xml:space="preserve"> </w:t>
      </w:r>
      <w:r>
        <w:t xml:space="preserve">factors are held as constant as possible, is already substantial</w:t>
      </w:r>
      <w:r>
        <w:t xml:space="preserve"> </w:t>
      </w:r>
      <w:r>
        <w:t xml:space="preserve">(Renkewitz, Fünderich, &amp; Beinhauer, 2024). However, so far we have</w:t>
      </w:r>
      <w:r>
        <w:t xml:space="preserve"> </w:t>
      </w:r>
      <w:r>
        <w:t xml:space="preserve">demonstrated that in several scenarios, differences in score reliability</w:t>
      </w:r>
      <w:r>
        <w:t xml:space="preserve"> </w:t>
      </w:r>
      <w:r>
        <w:t xml:space="preserve">may in fact be masking, or</w:t>
      </w:r>
      <w:r>
        <w:t xml:space="preserve"> </w:t>
      </w:r>
      <w:r>
        <w:t xml:space="preserve">“</w:t>
      </w:r>
      <w:r>
        <w:t xml:space="preserve">deflating</w:t>
      </w:r>
      <w:r>
        <w:t xml:space="preserve">”</w:t>
      </w:r>
      <w:r>
        <w:t xml:space="preserve"> </w:t>
      </w:r>
      <w:r>
        <w:t xml:space="preserve">ES heterogeneity. This implies</w:t>
      </w:r>
      <w:r>
        <w:t xml:space="preserve"> </w:t>
      </w:r>
      <w:r>
        <w:t xml:space="preserve">that the already substantial heterogeneity across direct replications</w:t>
      </w:r>
      <w:r>
        <w:t xml:space="preserve"> </w:t>
      </w:r>
      <w:r>
        <w:t xml:space="preserve">may very well be even larger, if ES were corrected for (un)reliability.</w:t>
      </w:r>
      <w:r>
        <w:t xml:space="preserve"> </w:t>
      </w:r>
      <w:r>
        <w:t xml:space="preserve">Understanding heterogeneity as an extent to which a theory or phenomenon</w:t>
      </w:r>
      <w:r>
        <w:t xml:space="preserve"> </w:t>
      </w:r>
      <w:r>
        <w:t xml:space="preserve">is understood, deflated estimates of heterogeneity imply that the theory</w:t>
      </w:r>
      <w:r>
        <w:t xml:space="preserve"> </w:t>
      </w:r>
      <w:r>
        <w:t xml:space="preserve">or phenomenon is understood even worse than initially assumed.</w:t>
      </w:r>
    </w:p>
    <w:p>
      <w:pPr>
        <w:pStyle w:val="BodyText"/>
      </w:pPr>
      <w:r>
        <w:t xml:space="preserve">The data-sets available to this project fall into two categories: direct</w:t>
      </w:r>
      <w:r>
        <w:t xml:space="preserve"> </w:t>
      </w:r>
      <w:r>
        <w:t xml:space="preserve">multi-site replications of a specific phenomenon, employing identical</w:t>
      </w:r>
      <w:r>
        <w:t xml:space="preserve"> </w:t>
      </w:r>
      <w:r>
        <w:t xml:space="preserve">protocols across samples; a large-scale collaborative effort to assess a</w:t>
      </w:r>
      <w:r>
        <w:t xml:space="preserve"> </w:t>
      </w:r>
      <w:r>
        <w:t xml:space="preserve">single phenomenon globally, distributed across a large number of</w:t>
      </w:r>
      <w:r>
        <w:t xml:space="preserve"> </w:t>
      </w:r>
      <w:r>
        <w:t xml:space="preserve">independent laboratories. For both categories, rather arbitrary sampling</w:t>
      </w:r>
      <w:r>
        <w:t xml:space="preserve"> </w:t>
      </w:r>
      <w:r>
        <w:t xml:space="preserve">schemes were used. The majority of respondents are students at the</w:t>
      </w:r>
      <w:r>
        <w:t xml:space="preserve"> </w:t>
      </w:r>
      <w:r>
        <w:t xml:space="preserve">respective universities, taking part in the studies voluntarily or</w:t>
      </w:r>
      <w:r>
        <w:t xml:space="preserve"> </w:t>
      </w:r>
      <w:r>
        <w:t xml:space="preserve">because they were required as part of their study’s programme (at times</w:t>
      </w:r>
      <w:r>
        <w:t xml:space="preserve"> </w:t>
      </w:r>
      <w:r>
        <w:t xml:space="preserve">compensation was awarded). This is not the same as random sampling.</w:t>
      </w:r>
      <w:r>
        <w:t xml:space="preserve"> </w:t>
      </w:r>
      <w:r>
        <w:t xml:space="preserve">These samples are put together arbitrarily, it is unlikely that the</w:t>
      </w:r>
      <w:r>
        <w:t xml:space="preserve"> </w:t>
      </w:r>
      <w:r>
        <w:t xml:space="preserve">underlying distribution of true scores is meaningful for a properly</w:t>
      </w:r>
      <w:r>
        <w:t xml:space="preserve"> </w:t>
      </w:r>
      <w:r>
        <w:t xml:space="preserve">specified population. The between-studies randomness introduced by these</w:t>
      </w:r>
      <w:r>
        <w:t xml:space="preserve"> </w:t>
      </w:r>
      <w:r>
        <w:t xml:space="preserve">undefined sampling schemes manifests itself in true score variance</w:t>
      </w:r>
      <w:r>
        <w:t xml:space="preserve"> </w:t>
      </w:r>
      <w:r>
        <w:t xml:space="preserve">heterogeneity</w:t>
      </w:r>
      <w:r>
        <w:t xml:space="preserve"> </w:t>
      </w:r>
      <m:oMath>
        <m:sSubSup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  <m:sup>
            <m:r>
              <m:t>2</m:t>
            </m:r>
          </m:sup>
        </m:sSubSup>
      </m:oMath>
      <w:r>
        <w:t xml:space="preserve">. Between-studies randomness</w:t>
      </w:r>
      <w:r>
        <w:t xml:space="preserve"> </w:t>
      </w:r>
      <w:r>
        <w:t xml:space="preserve">introduces by issues of measurement quality manifest themselves in error</w:t>
      </w:r>
      <w:r>
        <w:t xml:space="preserve"> </w:t>
      </w:r>
      <w:r>
        <w:t xml:space="preserve">score variance heterogeneity</w:t>
      </w:r>
      <w:r>
        <w:t xml:space="preserve"> </w:t>
      </w:r>
      <m:oMath>
        <m:sSubSup>
          <m:e>
            <m:r>
              <m:t>τ</m:t>
            </m:r>
          </m:e>
          <m:sub>
            <m:sSubSup>
              <m:e>
                <m:r>
                  <m:t>σ</m:t>
                </m:r>
              </m:e>
              <m:sub>
                <m:r>
                  <m:t>X</m:t>
                </m:r>
              </m:sub>
              <m:sup>
                <m:r>
                  <m:t>2</m:t>
                </m:r>
              </m:sup>
            </m:sSubSup>
          </m:sub>
          <m:sup>
            <m:r>
              <m:t>2</m:t>
            </m:r>
          </m:sup>
        </m:sSubSup>
      </m:oMath>
      <w:r>
        <w:t xml:space="preserve">. This implies that</w:t>
      </w:r>
      <w:r>
        <w:t xml:space="preserve"> </w:t>
      </w:r>
      <w:r>
        <w:t xml:space="preserve">it should be of little surprise that the differences in true score</w:t>
      </w:r>
      <w:r>
        <w:t xml:space="preserve"> </w:t>
      </w:r>
      <w:r>
        <w:t xml:space="preserve">variance largely exceed those in error score variance.</w:t>
      </w:r>
    </w:p>
    <w:p>
      <w:pPr>
        <w:pStyle w:val="BodyText"/>
      </w:pPr>
      <w:r>
        <w:t xml:space="preserve">Without sampling schemes that assure that the samples are constructed to</w:t>
      </w:r>
      <w:r>
        <w:t xml:space="preserve"> </w:t>
      </w:r>
      <w:r>
        <w:t xml:space="preserve">be representative for some kind of population, we have no reason to</w:t>
      </w:r>
      <w:r>
        <w:t xml:space="preserve"> </w:t>
      </w:r>
      <w:r>
        <w:t xml:space="preserve">assume that there should be few differences in the dispersion of true</w:t>
      </w:r>
      <w:r>
        <w:t xml:space="preserve"> </w:t>
      </w:r>
      <w:r>
        <w:t xml:space="preserve">scores. Even though the measuring instruments are translated to</w:t>
      </w:r>
      <w:r>
        <w:t xml:space="preserve"> </w:t>
      </w:r>
      <w:r>
        <w:t xml:space="preserve">different languages, which is bound to introduce differences in how much</w:t>
      </w:r>
      <w:r>
        <w:t xml:space="preserve"> </w:t>
      </w:r>
      <w:r>
        <w:t xml:space="preserve">random noise is added to scores across samples, we have no reason to</w:t>
      </w:r>
      <w:r>
        <w:t xml:space="preserve"> </w:t>
      </w:r>
      <w:r>
        <w:t xml:space="preserve">assume that these differences are larger than those introduced by</w:t>
      </w:r>
      <w:r>
        <w:t xml:space="preserve"> </w:t>
      </w:r>
      <w:r>
        <w:t xml:space="preserve">employing no sampling schemes. Therein, we believe that, as the</w:t>
      </w:r>
      <w:r>
        <w:t xml:space="preserve"> </w:t>
      </w:r>
      <w:r>
        <w:t xml:space="preserve">differences in score reliability are largely introduced by failure of</w:t>
      </w:r>
      <w:r>
        <w:t xml:space="preserve"> </w:t>
      </w:r>
      <w:r>
        <w:t xml:space="preserve">ensuring appropriate sampling mechanisms, not by differences in how well</w:t>
      </w:r>
      <w:r>
        <w:t xml:space="preserve"> </w:t>
      </w:r>
      <w:r>
        <w:t xml:space="preserve">the instrument captures the underlying construct, attenuation correction</w:t>
      </w:r>
      <w:r>
        <w:t xml:space="preserve"> </w:t>
      </w:r>
      <w:r>
        <w:t xml:space="preserve">can not be expected to remedy ES heterogeneity.</w:t>
      </w:r>
    </w:p>
    <w:p>
      <w:pPr>
        <w:pStyle w:val="BodyText"/>
      </w:pPr>
      <w:r>
        <w:t xml:space="preserve">However, this also means that results contrary to what we observed in</w:t>
      </w:r>
      <w:r>
        <w:t xml:space="preserve"> </w:t>
      </w:r>
      <w:r>
        <w:t xml:space="preserve">this project are not unthinkable. Valid sampling schemes need to be</w:t>
      </w:r>
      <w:r>
        <w:t xml:space="preserve"> </w:t>
      </w:r>
      <w:r>
        <w:t xml:space="preserve">considered, ensuring that the samples are representative for populations</w:t>
      </w:r>
      <w:r>
        <w:t xml:space="preserve"> </w:t>
      </w:r>
      <w:r>
        <w:t xml:space="preserve">that can be meaningfully compared. In that case, we are convinced that</w:t>
      </w:r>
      <w:r>
        <w:t xml:space="preserve"> </w:t>
      </w:r>
      <w:r>
        <w:t xml:space="preserve">true score variance should be more stable across samples and differences</w:t>
      </w:r>
      <w:r>
        <w:t xml:space="preserve"> </w:t>
      </w:r>
      <w:r>
        <w:t xml:space="preserve">in the instrument’s measuring quality are bound to have a much larger</w:t>
      </w:r>
      <w:r>
        <w:t xml:space="preserve"> </w:t>
      </w:r>
      <w:r>
        <w:t xml:space="preserve">impact. Not only would an attenuation correction in such a case actually</w:t>
      </w:r>
      <w:r>
        <w:t xml:space="preserve"> </w:t>
      </w:r>
      <w:r>
        <w:t xml:space="preserve">have the potential of reducing ES heterogeneity, the variability</w:t>
      </w:r>
      <w:r>
        <w:t xml:space="preserve"> </w:t>
      </w:r>
      <w:r>
        <w:t xml:space="preserve">underlying a psychological phenomenon could be meaningfully assessed</w:t>
      </w:r>
      <w:r>
        <w:t xml:space="preserve"> </w:t>
      </w:r>
      <w:r>
        <w:t xml:space="preserve">across samples - something that would greatly help attempts to identify</w:t>
      </w:r>
      <w:r>
        <w:t xml:space="preserve"> </w:t>
      </w:r>
      <w:r>
        <w:t xml:space="preserve">universal and non-universal patterns of psychological phenomena. As it</w:t>
      </w:r>
      <w:r>
        <w:t xml:space="preserve"> </w:t>
      </w:r>
      <w:r>
        <w:t xml:space="preserve">stands, current approaches to multi-site direct replications and other</w:t>
      </w:r>
      <w:r>
        <w:t xml:space="preserve"> </w:t>
      </w:r>
      <w:r>
        <w:t xml:space="preserve">collaborative efforts suffer strongly from the lack of appropriate</w:t>
      </w:r>
      <w:r>
        <w:t xml:space="preserve"> </w:t>
      </w:r>
      <w:r>
        <w:t xml:space="preserve">sampling schemes.</w:t>
      </w:r>
    </w:p>
    <w:p>
      <w:pPr>
        <w:pStyle w:val="BodyText"/>
      </w:pPr>
      <w:r>
        <w:t xml:space="preserve">The empirical arguments presented are based on a rather small number of</w:t>
      </w:r>
      <w:r>
        <w:t xml:space="preserve"> </w:t>
      </w:r>
      <w:r>
        <w:t xml:space="preserve">non-representative data-sets. Based on the combination of analytical and</w:t>
      </w:r>
      <w:r>
        <w:t xml:space="preserve"> </w:t>
      </w:r>
      <w:r>
        <w:t xml:space="preserve">empirical arguments, we are convinced that these differences in score</w:t>
      </w:r>
      <w:r>
        <w:t xml:space="preserve"> </w:t>
      </w:r>
      <w:r>
        <w:t xml:space="preserve">reliability across replications oftentimes mask true heterogeneity. In</w:t>
      </w:r>
      <w:r>
        <w:t xml:space="preserve"> </w:t>
      </w:r>
      <w:r>
        <w:t xml:space="preserve">realistic meta-analytic studies of conceptual replications, data stems</w:t>
      </w:r>
      <w:r>
        <w:t xml:space="preserve"> </w:t>
      </w:r>
      <w:r>
        <w:t xml:space="preserve">from a variety of sources. Across different populations, different</w:t>
      </w:r>
      <w:r>
        <w:t xml:space="preserve"> </w:t>
      </w:r>
      <w:r>
        <w:t xml:space="preserve">research settings or designs are used with varying or adjusted research</w:t>
      </w:r>
      <w:r>
        <w:t xml:space="preserve"> </w:t>
      </w:r>
      <w:r>
        <w:t xml:space="preserve">instruments. It is unlikely that, across these replications, we can</w:t>
      </w:r>
      <w:r>
        <w:t xml:space="preserve"> </w:t>
      </w:r>
      <w:r>
        <w:t xml:space="preserve">expect either the measuring quality or the true score variance to be</w:t>
      </w:r>
      <w:r>
        <w:t xml:space="preserve"> </w:t>
      </w:r>
      <w:r>
        <w:t xml:space="preserve">stable. However, as demonstrated above, differences in score reliability</w:t>
      </w:r>
      <w:r>
        <w:t xml:space="preserve"> </w:t>
      </w:r>
      <w:r>
        <w:t xml:space="preserve">and true score variance tend to lead to larger corrected ES</w:t>
      </w:r>
      <w:r>
        <w:t xml:space="preserve"> </w:t>
      </w:r>
      <w:r>
        <w:t xml:space="preserve">heterogeneity, implying that observed ES heterogeneity was reduced by</w:t>
      </w:r>
      <w:r>
        <w:t xml:space="preserve"> </w:t>
      </w:r>
      <w:r>
        <w:t xml:space="preserve">differences in score reliability. However, whether these results</w:t>
      </w:r>
      <w:r>
        <w:t xml:space="preserve"> </w:t>
      </w:r>
      <w:r>
        <w:t xml:space="preserve">actually generalize beyond these data-sets remains to be seen.</w:t>
      </w:r>
      <w:r>
        <w:t xml:space="preserve"> </w:t>
      </w:r>
      <w:r>
        <w:t xml:space="preserve">Unfortunately, the behavioural sciences are in dire need of open-data</w:t>
      </w:r>
      <w:r>
        <w:t xml:space="preserve"> </w:t>
      </w:r>
      <w:r>
        <w:t xml:space="preserve">that resemble multi-site replications. As the majority of results</w:t>
      </w:r>
      <w:r>
        <w:t xml:space="preserve"> </w:t>
      </w:r>
      <w:r>
        <w:t xml:space="preserve">discussed over the last years (in e.g. ManyLabs or Registered</w:t>
      </w:r>
      <w:r>
        <w:t xml:space="preserve"> </w:t>
      </w:r>
      <w:r>
        <w:t xml:space="preserve">Replication Reports) employ single-indicator scales as dependent</w:t>
      </w:r>
      <w:r>
        <w:t xml:space="preserve"> </w:t>
      </w:r>
      <w:r>
        <w:t xml:space="preserve">measures, score reliability can not be easily estimated in order to</w:t>
      </w:r>
      <w:r>
        <w:t xml:space="preserve"> </w:t>
      </w:r>
      <w:r>
        <w:t xml:space="preserve">replicate our analyses.</w:t>
      </w:r>
    </w:p>
    <w:p>
      <w:pPr>
        <w:pStyle w:val="BodyText"/>
      </w:pPr>
      <w:r>
        <w:t xml:space="preserve">The analytical arguments presented following Equation 17 rested on the</w:t>
      </w:r>
      <w:r>
        <w:t xml:space="preserve"> </w:t>
      </w:r>
      <w:r>
        <w:t xml:space="preserve">use of the delta-method, as Equation 17 contained parameters of the</w:t>
      </w:r>
      <w:r>
        <w:t xml:space="preserve"> </w:t>
      </w:r>
      <w:r>
        <w:t xml:space="preserve">score standard deviations’ distributions, while the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metrics were designed to discuss score variances. The delta-method rests</w:t>
      </w:r>
      <w:r>
        <w:t xml:space="preserve"> </w:t>
      </w:r>
      <w:r>
        <w:t xml:space="preserve">on a number of assumptions: (1) approximations derived from the</w:t>
      </w:r>
      <w:r>
        <w:t xml:space="preserve"> </w:t>
      </w:r>
      <w:r>
        <w:t xml:space="preserve">delta-method require for the transformed variable to follow a marginal</w:t>
      </w:r>
      <w:r>
        <w:t xml:space="preserve"> </w:t>
      </w:r>
      <w:r>
        <w:t xml:space="preserve">normal distribution (ref). Since the variable under discussion here is</w:t>
      </w:r>
      <w:r>
        <w:t xml:space="preserve"> </w:t>
      </w:r>
      <w:r>
        <w:t xml:space="preserve">the standard deviation, which is bounded to be larger than zero and has</w:t>
      </w:r>
      <w:r>
        <w:t xml:space="preserve"> </w:t>
      </w:r>
      <w:r>
        <w:t xml:space="preserve">a non-normal sampling distribution (ref), this assumption is most likely</w:t>
      </w:r>
      <w:r>
        <w:t xml:space="preserve"> </w:t>
      </w:r>
      <w:r>
        <w:t xml:space="preserve">violated; (2) the derivative of the transformation function needs to be</w:t>
      </w:r>
      <w:r>
        <w:t xml:space="preserve"> </w:t>
      </w:r>
      <w:r>
        <w:t xml:space="preserve">available. As the transformation function is essentially just the square</w:t>
      </w:r>
      <w:r>
        <w:t xml:space="preserve"> </w:t>
      </w:r>
      <w:r>
        <w:t xml:space="preserve">root, this assumption should hold up; (3) as the delta-method</w:t>
      </w:r>
      <w:r>
        <w:t xml:space="preserve"> </w:t>
      </w:r>
      <w:r>
        <w:t xml:space="preserve">approximates the parameters of the transformed variable using the</w:t>
      </w:r>
      <w:r>
        <w:t xml:space="preserve"> </w:t>
      </w:r>
      <w:r>
        <w:t xml:space="preserve">first-order Taylor-expansion, this implies that higher-order terms are</w:t>
      </w:r>
      <w:r>
        <w:t xml:space="preserve"> </w:t>
      </w:r>
      <w:r>
        <w:t xml:space="preserve">required to be negligible. In practice, this implies that the variance</w:t>
      </w:r>
      <w:r>
        <w:t xml:space="preserve"> </w:t>
      </w:r>
      <w:r>
        <w:t xml:space="preserve">of the untransformed variable needs to be small. However, as this entire</w:t>
      </w:r>
      <w:r>
        <w:t xml:space="preserve"> </w:t>
      </w:r>
      <w:r>
        <w:t xml:space="preserve">procedure discusses the influence of variance in standard deviations on</w:t>
      </w:r>
      <w:r>
        <w:t xml:space="preserve"> </w:t>
      </w:r>
      <w:r>
        <w:t xml:space="preserve">ES heterogeneity, introduced by differences in score reliability, this</w:t>
      </w:r>
      <w:r>
        <w:t xml:space="preserve"> </w:t>
      </w:r>
      <w:r>
        <w:t xml:space="preserve">assumption is probably violated as well. The violation of these</w:t>
      </w:r>
      <w:r>
        <w:t xml:space="preserve"> </w:t>
      </w:r>
      <w:r>
        <w:t xml:space="preserve">assumptions likely introduce a bias in estimates derived from these</w:t>
      </w:r>
      <w:r>
        <w:t xml:space="preserve"> </w:t>
      </w:r>
      <w:r>
        <w:t xml:space="preserve">approximations (ref). However, the inequality derived with use of the</w:t>
      </w:r>
      <w:r>
        <w:t xml:space="preserve"> </w:t>
      </w:r>
      <w:r>
        <w:t xml:space="preserve">delta-method is not used to actually derive any estimates, but to</w:t>
      </w:r>
      <w:r>
        <w:t xml:space="preserve"> </w:t>
      </w:r>
      <w:r>
        <w:t xml:space="preserve">discuss how an attenuation correction procedure can affect ES</w:t>
      </w:r>
      <w:r>
        <w:t xml:space="preserve"> </w:t>
      </w:r>
      <w:r>
        <w:t xml:space="preserve">heterogeneity. Therefore, we believe that the violation of these</w:t>
      </w:r>
      <w:r>
        <w:t xml:space="preserve"> </w:t>
      </w:r>
      <w:r>
        <w:t xml:space="preserve">assumptions is defensible in this case, as the analytical arguments</w:t>
      </w:r>
      <w:r>
        <w:t xml:space="preserve"> </w:t>
      </w:r>
      <w:r>
        <w:t xml:space="preserve">derived from the inequality should still hold up, nevertheless.</w:t>
      </w:r>
      <w:r>
        <w:t xml:space="preserve"> </w:t>
      </w:r>
      <w:r>
        <w:t xml:space="preserve">Additionally, we used the empirical examples available to assess in how</w:t>
      </w:r>
      <w:r>
        <w:t xml:space="preserve"> </w:t>
      </w:r>
      <w:r>
        <w:t xml:space="preserve">far estimates derived using the delta-method approximations diverge from</w:t>
      </w:r>
      <w:r>
        <w:t xml:space="preserve"> </w:t>
      </w:r>
      <w:r>
        <w:t xml:space="preserve">estimates derived without it. The differences identified are rather</w:t>
      </w:r>
      <w:r>
        <w:t xml:space="preserve"> </w:t>
      </w:r>
      <w:r>
        <w:t xml:space="preserve">miniscule at the third decimal, reinforcing our belief that these</w:t>
      </w:r>
      <w:r>
        <w:t xml:space="preserve"> </w:t>
      </w:r>
      <w:r>
        <w:t xml:space="preserve">assumption violations are defensible.</w:t>
      </w:r>
    </w:p>
    <w:p>
      <w:pPr>
        <w:pStyle w:val="BodyText"/>
      </w:pPr>
      <w:r>
        <w:t xml:space="preserve">Similarly, all Equations following Equation 10 rest on the assumption</w:t>
      </w:r>
      <w:r>
        <w:t xml:space="preserve"> </w:t>
      </w:r>
      <w:r>
        <w:t xml:space="preserve">that mean difference (</w:t>
      </w:r>
      <m:oMath>
        <m:r>
          <m:t>M</m:t>
        </m:r>
        <m:r>
          <m:t>D</m:t>
        </m:r>
      </m:oMath>
      <w:r>
        <w:t xml:space="preserve">) and true or total score variance</w:t>
      </w:r>
      <w:r>
        <w:t xml:space="preserve"> </w:t>
      </w:r>
      <w:r>
        <w:t xml:space="preserve">(</w:t>
      </w:r>
      <m:oMath>
        <m:sSubSup>
          <m:e>
            <m:r>
              <m:t>σ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σ</m:t>
            </m:r>
          </m:e>
          <m:sub>
            <m:r>
              <m:t>X</m:t>
            </m:r>
          </m:sub>
          <m:sup>
            <m:r>
              <m:t>2</m:t>
            </m:r>
          </m:sup>
        </m:sSubSup>
      </m:oMath>
      <w:r>
        <w:t xml:space="preserve">) are independent. While this assumption</w:t>
      </w:r>
      <w:r>
        <w:t xml:space="preserve"> </w:t>
      </w:r>
      <w:r>
        <w:t xml:space="preserve">is in line with assumptions underlying CTT, it is by no means guaranteed</w:t>
      </w:r>
      <w:r>
        <w:t xml:space="preserve"> </w:t>
      </w:r>
      <w:r>
        <w:t xml:space="preserve">that it holds in these data-sets. If this assumption was violated,</w:t>
      </w:r>
      <w:r>
        <w:t xml:space="preserve"> </w:t>
      </w:r>
      <w:r>
        <w:t xml:space="preserve">whether the relationship was positive or negative, indicated by a</w:t>
      </w:r>
      <w:r>
        <w:t xml:space="preserve"> </w:t>
      </w:r>
      <w:r>
        <w:t xml:space="preserve">positive or negative covariance in Equation 10, would most likely have</w:t>
      </w:r>
      <w:r>
        <w:t xml:space="preserve"> </w:t>
      </w:r>
      <w:r>
        <w:t xml:space="preserve">an impact on how strongly ES heterogeneity is affected by the</w:t>
      </w:r>
      <w:r>
        <w:t xml:space="preserve"> </w:t>
      </w:r>
      <w:r>
        <w:t xml:space="preserve">attenuation correction procedure, possibly even the direction of how it</w:t>
      </w:r>
      <w:r>
        <w:t xml:space="preserve"> </w:t>
      </w:r>
      <w:r>
        <w:t xml:space="preserve">is affected. However, currently we have no reason to assume that there</w:t>
      </w:r>
      <w:r>
        <w:t xml:space="preserve"> </w:t>
      </w:r>
      <w:r>
        <w:t xml:space="preserve">is a systematic relationship between mean difference and standard</w:t>
      </w:r>
      <w:r>
        <w:t xml:space="preserve"> </w:t>
      </w:r>
      <w:r>
        <w:t xml:space="preserve">deviation. As this relationship would also affect the distribution of ES</w:t>
      </w:r>
      <w:r>
        <w:t xml:space="preserve"> </w:t>
      </w:r>
      <w:r>
        <w:t xml:space="preserve">like Cohen’s d itself, strong violations of this assumption would go far</w:t>
      </w:r>
      <w:r>
        <w:t xml:space="preserve"> </w:t>
      </w:r>
      <w:r>
        <w:t xml:space="preserve">beyond invalidating the claims we derived in Equation 16. Instead,</w:t>
      </w:r>
      <w:r>
        <w:t xml:space="preserve"> </w:t>
      </w:r>
      <w:r>
        <w:t xml:space="preserve">assumptions of the meta-analytic tests concerning the size ES and the</w:t>
      </w:r>
      <w:r>
        <w:t xml:space="preserve"> </w:t>
      </w:r>
      <w:r>
        <w:t xml:space="preserve">presence of ES heterogeneity would be violated, making any research on</w:t>
      </w:r>
      <w:r>
        <w:t xml:space="preserve"> </w:t>
      </w:r>
      <w:r>
        <w:t xml:space="preserve">change in ES heterogeneity due to attenuation correction obsolete.</w:t>
      </w:r>
    </w:p>
    <w:p>
      <w:pPr>
        <w:pStyle w:val="BodyText"/>
      </w:pPr>
      <w:r>
        <w:t xml:space="preserve">The work done by Hunter and Schmidt (2014) was crucial in informing and</w:t>
      </w:r>
      <w:r>
        <w:t xml:space="preserve"> </w:t>
      </w:r>
      <w:r>
        <w:t xml:space="preserve">guiding methodology development in the field of meta-analyses.</w:t>
      </w:r>
      <w:r>
        <w:t xml:space="preserve"> </w:t>
      </w:r>
      <w:r>
        <w:t xml:space="preserve">Similarly, Wiernik and Dahlke (2020) raise a number of important points</w:t>
      </w:r>
      <w:r>
        <w:t xml:space="preserve"> </w:t>
      </w:r>
      <w:r>
        <w:t xml:space="preserve">that have been neglected in the application of meta-analytic research</w:t>
      </w:r>
      <w:r>
        <w:t xml:space="preserve"> </w:t>
      </w:r>
      <w:r>
        <w:t xml:space="preserve">over the last decades. We strongly agree with their ideas that</w:t>
      </w:r>
      <w:r>
        <w:t xml:space="preserve"> </w:t>
      </w:r>
      <w:r>
        <w:t xml:space="preserve">underappreciated (differences in un-)reliability introduce substantial</w:t>
      </w:r>
      <w:r>
        <w:t xml:space="preserve"> </w:t>
      </w:r>
      <w:r>
        <w:t xml:space="preserve">biases in meta-analytic estimates and tests in Psychology, which need to</w:t>
      </w:r>
      <w:r>
        <w:t xml:space="preserve"> </w:t>
      </w:r>
      <w:r>
        <w:t xml:space="preserve">be corrected. Future applications of meta-analyses on standardized ES</w:t>
      </w:r>
      <w:r>
        <w:t xml:space="preserve"> </w:t>
      </w:r>
      <w:r>
        <w:t xml:space="preserve">need to take score reliability into account to arrive at correct</w:t>
      </w:r>
      <w:r>
        <w:t xml:space="preserve"> </w:t>
      </w:r>
      <w:r>
        <w:t xml:space="preserve">estimates and inferences. However, the meta-analyst should not expect</w:t>
      </w:r>
      <w:r>
        <w:t xml:space="preserve"> </w:t>
      </w:r>
      <w:r>
        <w:t xml:space="preserve">that correcting ES for score reliability will reduce the extent of</w:t>
      </w:r>
      <w:r>
        <w:t xml:space="preserve"> </w:t>
      </w:r>
      <w:r>
        <w:t xml:space="preserve">heterogeneity identified.</w:t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</dc:title>
  <dc:creator/>
  <cp:keywords/>
  <dcterms:created xsi:type="dcterms:W3CDTF">2025-02-11T09:19:13Z</dcterms:created>
  <dcterms:modified xsi:type="dcterms:W3CDTF">2025-02-11T09:19:13Z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