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IST 687 M002</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Group 2</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REPORT</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HEALTHCARE COSTS INSIGHTS, ANALYSIS AND RECOMMENDATIONS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Satwik Belaldavar, Lahari Chowtoori, Ximeng Deng, Jackson Hett, Supraja Ramachandran</w:t>
      </w:r>
    </w:p>
    <w:p w:rsidR="00000000" w:rsidDel="00000000" w:rsidP="00000000" w:rsidRDefault="00000000" w:rsidRPr="00000000" w14:paraId="0000000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project contains healthcare cost information from a Health Management Organization (HMO). The goal of this project was to accurately predict which customers will be expensive and determine which factors lead to a higher healthcare cost. Additionally, we were assigned the task of creating actionable insights for a healthcare company. To do this, we used the skills developed in the course to perform data analysis.</w:t>
      </w:r>
    </w:p>
    <w:p w:rsidR="00000000" w:rsidDel="00000000" w:rsidP="00000000" w:rsidRDefault="00000000" w:rsidRPr="00000000" w14:paraId="0000001C">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for this project is from a url of csv, and the read_csv function was used to bring in the data.</w:t>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
            <wp:effectExtent b="0" l="0" r="0" t="0"/>
            <wp:docPr id="52"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the data looked initially after reading it in but before any data cleaning. There were 7,852 observations of 14 variables. Before doing any data analysis, we needed to deal with NA values using the imputeTS package. We decided to repair the  NA values using interpolation, as we did in class several times. There were 186 NA values before data cleaning began. </w:t>
      </w:r>
    </w:p>
    <w:p w:rsidR="00000000" w:rsidDel="00000000" w:rsidP="00000000" w:rsidRDefault="00000000" w:rsidRPr="00000000" w14:paraId="00000021">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1533525"/>
            <wp:effectExtent b="0" l="0" r="0" t="0"/>
            <wp:docPr id="49"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23336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str() function, we examined the dataset in more detail.</w:t>
      </w:r>
    </w:p>
    <w:p w:rsidR="00000000" w:rsidDel="00000000" w:rsidP="00000000" w:rsidRDefault="00000000" w:rsidRPr="00000000" w14:paraId="0000002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2795664"/>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57613" cy="279566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there are 8 numerical columns, 1 of which is a categorical variable (hypertension). There are also 8 character columns which are strings. We then used the summary() function to further explore the data.</w:t>
      </w:r>
    </w:p>
    <w:p w:rsidR="00000000" w:rsidDel="00000000" w:rsidP="00000000" w:rsidRDefault="00000000" w:rsidRPr="00000000" w14:paraId="0000002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53426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443288" cy="25342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here, the ages in the sample ranged from 18 to 66 with a mean of around 39. For bmi, values ranged from about 16 to 53 with a mean of about 31. The insurance cost has a wide range, spanning from only $2 to $55,715 with a mean of $4,043. This means that the cost variable is skewed to the right by some extremely high values.</w:t>
      </w:r>
    </w:p>
    <w:p w:rsidR="00000000" w:rsidDel="00000000" w:rsidP="00000000" w:rsidRDefault="00000000" w:rsidRPr="00000000" w14:paraId="0000002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smoker column is a binary column that denotes if that specific person is a smoker. Location type can be either urban or country. Education level has several options. These include no college degree, bachelor, master, and PHD. Yearly physical and exercise are also binary columns with options of yes, no, active, and not-active. Hypertension is a binary column where 1 indicates a person with hypertension. Gender and </w:t>
      </w:r>
      <w:r w:rsidDel="00000000" w:rsidR="00000000" w:rsidRPr="00000000">
        <w:rPr>
          <w:rFonts w:ascii="Times New Roman" w:cs="Times New Roman" w:eastAsia="Times New Roman" w:hAnsi="Times New Roman"/>
          <w:sz w:val="24"/>
          <w:szCs w:val="24"/>
          <w:rtl w:val="0"/>
        </w:rPr>
        <w:t xml:space="preserve">married</w:t>
      </w:r>
      <w:r w:rsidDel="00000000" w:rsidR="00000000" w:rsidRPr="00000000">
        <w:rPr>
          <w:rFonts w:ascii="Times New Roman" w:cs="Times New Roman" w:eastAsia="Times New Roman" w:hAnsi="Times New Roman"/>
          <w:sz w:val="24"/>
          <w:szCs w:val="24"/>
          <w:rtl w:val="0"/>
        </w:rPr>
        <w:t xml:space="preserve"> are self-explanatory binary variables as well. Cost is the amount of money a person spent on healthcare in the past year. This is our variable of interest.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then had to create a categorical variable quantifying an “expensive person”. To do this, we ran descriptive statistics on the cost variable and found the quantile values. We chose to define expensive as a person that has a healthcare cost of $4,776 or more. The reason we picked this value was because $4,775 is the 75th percentile. </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created several other variables to further analyze the data. We created age categories including young adults, middle aged, and older adults. We did this to investigate differences in healthcare costs among different age brackets. We also created bmi categories using the defined ranges of bmi. These categories include underweight, healthy, overweight, obese, and extremely obese. </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Following the exploratory data analysis and initial cleaning, we decided to further explore the dataset using visualizations. First, we made a simple histogram of the cost variable to observe the heavy skew to the right of the data. This confirmed our initial hypothesis. Most of the data falls between $0 and $5,000, but there are several outliers above $20,000.</w:t>
      </w:r>
    </w:p>
    <w:p w:rsidR="00000000" w:rsidDel="00000000" w:rsidP="00000000" w:rsidRDefault="00000000" w:rsidRPr="00000000" w14:paraId="0000002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3010508"/>
            <wp:effectExtent b="12700" l="12700" r="12700" t="12700"/>
            <wp:docPr id="18" name="image1.png"/>
            <a:graphic>
              <a:graphicData uri="http://schemas.openxmlformats.org/drawingml/2006/picture">
                <pic:pic>
                  <pic:nvPicPr>
                    <pic:cNvPr id="0" name="image1.png"/>
                    <pic:cNvPicPr preferRelativeResize="0"/>
                  </pic:nvPicPr>
                  <pic:blipFill>
                    <a:blip r:embed="rId11"/>
                    <a:srcRect b="0" l="801" r="0" t="1048"/>
                    <a:stretch>
                      <a:fillRect/>
                    </a:stretch>
                  </pic:blipFill>
                  <pic:spPr>
                    <a:xfrm>
                      <a:off x="0" y="0"/>
                      <a:ext cx="4891088" cy="30105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spacing w:line="360" w:lineRule="auto"/>
        <w:rPr/>
      </w:pPr>
      <w:bookmarkStart w:colFirst="0" w:colLast="0" w:name="_w6convtps4vj" w:id="0"/>
      <w:bookmarkEnd w:id="0"/>
      <w:r w:rsidDel="00000000" w:rsidR="00000000" w:rsidRPr="00000000">
        <w:rPr>
          <w:rtl w:val="0"/>
        </w:rPr>
        <w:t xml:space="preserve">Group by </w:t>
      </w:r>
      <w:r w:rsidDel="00000000" w:rsidR="00000000" w:rsidRPr="00000000">
        <w:rPr>
          <w:rtl w:val="0"/>
        </w:rPr>
        <w:t xml:space="preserve">State</w:t>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Following this, we grouped the data by state and created a plot showing the average healthcare cost for each state in our dataset. </w:t>
      </w:r>
    </w:p>
    <w:p w:rsidR="00000000" w:rsidDel="00000000" w:rsidP="00000000" w:rsidRDefault="00000000" w:rsidRPr="00000000" w14:paraId="0000003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533099"/>
            <wp:effectExtent b="0" l="0" r="0" t="0"/>
            <wp:docPr id="55"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3067050" cy="53309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3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shows that people living in New York have the highest healthcare costs, on average. New York is followed by Massachusetts. The remaining states all have negligible differences in the average healthcare costs. Another visualization we created shows the healthcare costs by states by using a map.</w:t>
      </w:r>
    </w:p>
    <w:p w:rsidR="00000000" w:rsidDel="00000000" w:rsidP="00000000" w:rsidRDefault="00000000" w:rsidRPr="00000000" w14:paraId="0000003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980" cy="1804988"/>
            <wp:effectExtent b="12700" l="12700" r="12700" t="12700"/>
            <wp:docPr id="3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887980" cy="18049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0813" cy="1820256"/>
            <wp:effectExtent b="12700" l="12700" r="12700" t="1270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90813" cy="18202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we also grouped the data by state and created 2 plots showing the percentage of being expensive and the frequency of being expensive on the healthcare cost for each state in our dataset. </w:t>
      </w:r>
    </w:p>
    <w:p w:rsidR="00000000" w:rsidDel="00000000" w:rsidP="00000000" w:rsidRDefault="00000000" w:rsidRPr="00000000" w14:paraId="0000003C">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521127"/>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09863" cy="5211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the expensive percentage by state:</w:t>
      </w:r>
    </w:p>
    <w:p w:rsidR="00000000" w:rsidDel="00000000" w:rsidP="00000000" w:rsidRDefault="00000000" w:rsidRPr="00000000" w14:paraId="0000003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41"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the expensive frequency by state:</w:t>
      </w:r>
    </w:p>
    <w:p w:rsidR="00000000" w:rsidDel="00000000" w:rsidP="00000000" w:rsidRDefault="00000000" w:rsidRPr="00000000" w14:paraId="0000004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47"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people living in New York have the highest percentage of expensive healthcare costs. New York is followed by Massachusetts. The remaining states all have negligible differences in the percentage of being expensive on healthcare costs. </w:t>
      </w:r>
    </w:p>
    <w:p w:rsidR="00000000" w:rsidDel="00000000" w:rsidP="00000000" w:rsidRDefault="00000000" w:rsidRPr="00000000" w14:paraId="0000004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sample size of the data varies from state to state, the frequency of being expensive varies widely, but this has little impact on our analysis and is not important data, so we decided to skim over.</w:t>
      </w:r>
    </w:p>
    <w:p w:rsidR="00000000" w:rsidDel="00000000" w:rsidP="00000000" w:rsidRDefault="00000000" w:rsidRPr="00000000" w14:paraId="0000004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spacing w:line="360" w:lineRule="auto"/>
        <w:rPr/>
      </w:pPr>
      <w:bookmarkStart w:colFirst="0" w:colLast="0" w:name="_klkp8x88eatf" w:id="1"/>
      <w:bookmarkEnd w:id="1"/>
      <w:r w:rsidDel="00000000" w:rsidR="00000000" w:rsidRPr="00000000">
        <w:rPr>
          <w:rtl w:val="0"/>
        </w:rPr>
        <w:t xml:space="preserve">Group by Age Category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grouped the data by age category to determine what impact age has on cost.</w:t>
      </w:r>
    </w:p>
    <w:p w:rsidR="00000000" w:rsidDel="00000000" w:rsidP="00000000" w:rsidRDefault="00000000" w:rsidRPr="00000000" w14:paraId="0000004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618599"/>
            <wp:effectExtent b="0" l="0" r="0" t="0"/>
            <wp:docPr id="57"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3686175" cy="61859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54"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51"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8986" cy="473757"/>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78986" cy="47375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75200"/>
            <wp:effectExtent b="12700" l="12700" r="12700" t="12700"/>
            <wp:docPr id="61"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5943600" cy="477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1526892"/>
            <wp:effectExtent b="12700" l="12700" r="12700" t="1270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462213" cy="1526892"/>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57450" cy="1535050"/>
            <wp:effectExtent b="12700" l="12700" r="12700" t="12700"/>
            <wp:docPr id="3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457450" cy="1535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clearly evident that the average cost, the percentage of being expensive, and the frequency of being expensive for older adults is significantly higher than those for middle aged adults, which is significantly higher than those for young adults. </w:t>
      </w:r>
    </w:p>
    <w:p w:rsidR="00000000" w:rsidDel="00000000" w:rsidP="00000000" w:rsidRDefault="00000000" w:rsidRPr="00000000" w14:paraId="0000005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45"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5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spacing w:line="360" w:lineRule="auto"/>
        <w:rPr/>
      </w:pPr>
      <w:bookmarkStart w:colFirst="0" w:colLast="0" w:name="_kmt52z1h6swo" w:id="2"/>
      <w:bookmarkEnd w:id="2"/>
      <w:r w:rsidDel="00000000" w:rsidR="00000000" w:rsidRPr="00000000">
        <w:rPr>
          <w:rtl w:val="0"/>
        </w:rPr>
        <w:t xml:space="preserve">Group by BMI Category</w:t>
      </w:r>
    </w:p>
    <w:p w:rsidR="00000000" w:rsidDel="00000000" w:rsidP="00000000" w:rsidRDefault="00000000" w:rsidRPr="00000000" w14:paraId="0000005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grouped the data by bmi category to analyze the impact of bmi on cost. </w:t>
      </w:r>
    </w:p>
    <w:p w:rsidR="00000000" w:rsidDel="00000000" w:rsidP="00000000" w:rsidRDefault="00000000" w:rsidRPr="00000000" w14:paraId="0000005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621770"/>
            <wp:effectExtent b="0" l="0" r="0" t="0"/>
            <wp:docPr id="40"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624263" cy="6217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2811"/>
            <wp:effectExtent b="0" l="0" r="0" t="0"/>
            <wp:docPr id="14" name="image6.png"/>
            <a:graphic>
              <a:graphicData uri="http://schemas.openxmlformats.org/drawingml/2006/picture">
                <pic:pic>
                  <pic:nvPicPr>
                    <pic:cNvPr id="0" name="image6.png"/>
                    <pic:cNvPicPr preferRelativeResize="0"/>
                  </pic:nvPicPr>
                  <pic:blipFill>
                    <a:blip r:embed="rId32"/>
                    <a:srcRect b="17523" l="0" r="0" t="0"/>
                    <a:stretch>
                      <a:fillRect/>
                    </a:stretch>
                  </pic:blipFill>
                  <pic:spPr>
                    <a:xfrm>
                      <a:off x="0" y="0"/>
                      <a:ext cx="5943600" cy="28281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average cost for extremely obese and obese people is well over $4,000. On the other hand, the cost for overweight and healthy people is similar while the cost for underweight is the lowest.</w:t>
      </w:r>
    </w:p>
    <w:p w:rsidR="00000000" w:rsidDel="00000000" w:rsidP="00000000" w:rsidRDefault="00000000" w:rsidRPr="00000000" w14:paraId="00000062">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looked at the percentage and frequency of being expensive grouped by the bmi category, we can see that the cost for extremely obese and obese people is more likely to cost more on health care. </w:t>
      </w:r>
    </w:p>
    <w:p w:rsidR="00000000" w:rsidDel="00000000" w:rsidP="00000000" w:rsidRDefault="00000000" w:rsidRPr="00000000" w14:paraId="00000064">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90838" cy="580537"/>
            <wp:effectExtent b="0" l="0" r="0" t="0"/>
            <wp:docPr id="2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890838" cy="58053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0"/>
            <wp:effectExtent b="0" l="0" r="0" t="0"/>
            <wp:docPr id="29"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 Percentage by BMI Category:</w:t>
      </w:r>
    </w:p>
    <w:p w:rsidR="00000000" w:rsidDel="00000000" w:rsidP="00000000" w:rsidRDefault="00000000" w:rsidRPr="00000000" w14:paraId="0000006E">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3258687"/>
            <wp:effectExtent b="12700" l="12700" r="12700" t="1270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281613" cy="3258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 Frequency by BMI Category:</w:t>
      </w:r>
    </w:p>
    <w:p w:rsidR="00000000" w:rsidDel="00000000" w:rsidP="00000000" w:rsidRDefault="00000000" w:rsidRPr="00000000" w14:paraId="00000071">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276318"/>
            <wp:effectExtent b="12700" l="12700" r="12700" t="12700"/>
            <wp:docPr id="3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310188" cy="32763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spacing w:line="360" w:lineRule="auto"/>
        <w:rPr/>
      </w:pPr>
      <w:bookmarkStart w:colFirst="0" w:colLast="0" w:name="_yeyhzaer8vc1" w:id="3"/>
      <w:bookmarkEnd w:id="3"/>
      <w:r w:rsidDel="00000000" w:rsidR="00000000" w:rsidRPr="00000000">
        <w:rPr>
          <w:rtl w:val="0"/>
        </w:rPr>
        <w:t xml:space="preserve">Other Visualizations</w:t>
      </w:r>
    </w:p>
    <w:p w:rsidR="00000000" w:rsidDel="00000000" w:rsidP="00000000" w:rsidRDefault="00000000" w:rsidRPr="00000000" w14:paraId="00000075">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 at the bar graph for gender, we can see that men spend more on healthcare than women do, but the difference is not significant.</w:t>
      </w:r>
    </w:p>
    <w:p w:rsidR="00000000" w:rsidDel="00000000" w:rsidP="00000000" w:rsidRDefault="00000000" w:rsidRPr="00000000" w14:paraId="0000007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42"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666391"/>
            <wp:effectExtent b="12700" l="12700" r="12700" t="12700"/>
            <wp:docPr id="2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647950" cy="166639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7355" cy="1636266"/>
            <wp:effectExtent b="12700" l="12700" r="12700" t="12700"/>
            <wp:docPr id="2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647355" cy="16362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clear that the mean cost for someone that is not active doing physical exercise is much higher than the mean cost for someone that is active doing exercise. Therefore, active exercise people have a lower chance to be expensive than someone who is not active.</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132" cy="1682688"/>
            <wp:effectExtent b="12700" l="12700" r="12700" t="12700"/>
            <wp:docPr id="48"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743132" cy="16826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8900" cy="1619184"/>
            <wp:effectExtent b="0" l="0" r="0" t="0"/>
            <wp:docPr id="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628900" cy="161918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looked at urban vs country locations and the correlation to health care costs. We did not find a significant relationship. However, there are several high outliers in the urban sample compared to the country sample.</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
            <wp:effectExtent b="0" l="0" r="0" t="0"/>
            <wp:docPr id="3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id="1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the impact of annual physicals on the healthcare cost for an individual. This was clear in that it showed much higher outliers for people that do not have an annual physical and the average price for someone who does not have a physical is higher than someone who does.</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43"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109" cy="3167063"/>
            <wp:effectExtent b="12700" l="12700" r="12700" t="12700"/>
            <wp:docPr id="44"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133109" cy="316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visualize the correlation between cost and smoker &amp; non-smoker, it is clear that the mean cost for someone that is a smoker is much higher than the mean cost for someone that is not a smoker. Therefore, non-smoker people have a lower chance to be expensive than someone who is a smoker.</w:t>
      </w:r>
    </w:p>
    <w:p w:rsidR="00000000" w:rsidDel="00000000" w:rsidP="00000000" w:rsidRDefault="00000000" w:rsidRPr="00000000" w14:paraId="0000008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770151"/>
            <wp:effectExtent b="0" l="0" r="0" t="0"/>
            <wp:docPr id="19"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871788" cy="17701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86088" cy="1831721"/>
            <wp:effectExtent b="0" l="0" r="0" t="0"/>
            <wp:docPr id="9"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986088" cy="183172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as the number of children increases, the cost of health care increases, but when there are four, the cost of healthcare decreases, and when there are five children, the cost of healthcare is lower than if there were no children.</w:t>
      </w:r>
    </w:p>
    <w:p w:rsidR="00000000" w:rsidDel="00000000" w:rsidP="00000000" w:rsidRDefault="00000000" w:rsidRPr="00000000" w14:paraId="0000008B">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4499" cy="1766888"/>
            <wp:effectExtent b="0" l="0" r="0" t="0"/>
            <wp:docPr id="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864499" cy="1766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56392" cy="1827275"/>
            <wp:effectExtent b="0" l="0" r="0" t="0"/>
            <wp:docPr id="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956392" cy="1827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1"/>
        <w:spacing w:line="360" w:lineRule="auto"/>
        <w:rPr>
          <w:rFonts w:ascii="Times New Roman" w:cs="Times New Roman" w:eastAsia="Times New Roman" w:hAnsi="Times New Roman"/>
          <w:sz w:val="24"/>
          <w:szCs w:val="24"/>
        </w:rPr>
      </w:pPr>
      <w:bookmarkStart w:colFirst="0" w:colLast="0" w:name="_7kdqd9kvhxgz" w:id="4"/>
      <w:bookmarkEnd w:id="4"/>
      <w:r w:rsidDel="00000000" w:rsidR="00000000" w:rsidRPr="00000000">
        <w:rPr>
          <w:rtl w:val="0"/>
        </w:rPr>
        <w:t xml:space="preserve">Linear </w:t>
      </w:r>
      <w:r w:rsidDel="00000000" w:rsidR="00000000" w:rsidRPr="00000000">
        <w:rPr>
          <w:rtl w:val="0"/>
        </w:rPr>
        <w:t xml:space="preserve">Model</w:t>
      </w:r>
      <w:r w:rsidDel="00000000" w:rsidR="00000000" w:rsidRPr="00000000">
        <w:rPr>
          <w:rtl w:val="0"/>
        </w:rPr>
      </w:r>
    </w:p>
    <w:p w:rsidR="00000000" w:rsidDel="00000000" w:rsidP="00000000" w:rsidRDefault="00000000" w:rsidRPr="00000000" w14:paraId="0000008F">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initial data visualization, we began creating a model to solve the problem that we faced. First, we created a multiple linear regression model using all variables in the dataframe to model cost. We found that age, bmi, children, smoker, and being from New York were positive and statistically significant at the 0.05 level. This means that an increase in age, bmi, or children leads to an increase in insurance costs. Being a smoker or being from New York also leads to higher costs. We then ran a model with only statistically significant variables and the results are shown below.</w:t>
      </w:r>
    </w:p>
    <w:p w:rsidR="00000000" w:rsidDel="00000000" w:rsidP="00000000" w:rsidRDefault="00000000" w:rsidRPr="00000000" w14:paraId="00000090">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56"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2866464"/>
            <wp:effectExtent b="0" l="0" r="0" t="0"/>
            <wp:docPr id="60"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4357688" cy="28664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2">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 is less than 0.05, we accepted this model. The Adjusted R-squared value for this was 0.5731. This means that 57.31% of the variation in health cost can be explained by the variables included in the model. </w:t>
      </w:r>
    </w:p>
    <w:p w:rsidR="00000000" w:rsidDel="00000000" w:rsidP="00000000" w:rsidRDefault="00000000" w:rsidRPr="00000000" w14:paraId="00000093">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spacing w:line="360" w:lineRule="auto"/>
        <w:rPr/>
      </w:pPr>
      <w:bookmarkStart w:colFirst="0" w:colLast="0" w:name="_a9va2xjvv432" w:id="5"/>
      <w:bookmarkEnd w:id="5"/>
      <w:r w:rsidDel="00000000" w:rsidR="00000000" w:rsidRPr="00000000">
        <w:rPr>
          <w:rtl w:val="0"/>
        </w:rPr>
        <w:t xml:space="preserve">SVM Model</w:t>
      </w:r>
    </w:p>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decided to create an SVM model, which is a supervised modeling technique. To do this, we used the createDataPartition() function from the caret package. We first tried splitting the data into test and training datasets with .2 and .8 partitions, but that model is not as accurate as the model we created when we split the data into test and training datasets with ⅔ of the data being used as the training data. </w:t>
      </w:r>
    </w:p>
    <w:p w:rsidR="00000000" w:rsidDel="00000000" w:rsidP="00000000" w:rsidRDefault="00000000" w:rsidRPr="00000000" w14:paraId="00000097">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1445854"/>
            <wp:effectExtent b="0" l="0" r="0" t="0"/>
            <wp:docPr id="53"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4157663" cy="144585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created an SVM model using all the variables with expensive being the variable of interest. This was created using the train() function. A second SVM model was made using the ksvm() function. Then, we predicted the test data with both models and created a Confusion matrix for each. </w:t>
      </w:r>
    </w:p>
    <w:p w:rsidR="00000000" w:rsidDel="00000000" w:rsidP="00000000" w:rsidRDefault="00000000" w:rsidRPr="00000000" w14:paraId="0000009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2225440"/>
            <wp:effectExtent b="0" l="0" r="0" t="0"/>
            <wp:docPr id="31"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3605213" cy="22254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680" cy="3506242"/>
            <wp:effectExtent b="0" l="0" r="0" t="0"/>
            <wp:docPr id="46" name="image59.png"/>
            <a:graphic>
              <a:graphicData uri="http://schemas.openxmlformats.org/drawingml/2006/picture">
                <pic:pic>
                  <pic:nvPicPr>
                    <pic:cNvPr id="0" name="image59.png"/>
                    <pic:cNvPicPr preferRelativeResize="0"/>
                  </pic:nvPicPr>
                  <pic:blipFill>
                    <a:blip r:embed="rId56"/>
                    <a:srcRect b="0" l="0" r="0" t="0"/>
                    <a:stretch>
                      <a:fillRect/>
                    </a:stretch>
                  </pic:blipFill>
                  <pic:spPr>
                    <a:xfrm>
                      <a:off x="0" y="0"/>
                      <a:ext cx="2505680" cy="35062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7427" cy="3652838"/>
            <wp:effectExtent b="0" l="0" r="0" t="0"/>
            <wp:docPr id="58"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2587427"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1)</w:t>
        <w:tab/>
        <w:tab/>
        <w:tab/>
        <w:tab/>
        <w:tab/>
        <w:t xml:space="preserve"> (Model 2)</w:t>
      </w:r>
    </w:p>
    <w:p w:rsidR="00000000" w:rsidDel="00000000" w:rsidP="00000000" w:rsidRDefault="00000000" w:rsidRPr="00000000" w14:paraId="0000009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P-Value for both models is less than 0.05, the no information rate is 0.7501. The accuracy of the first model was 0.8729 while the second model was 0.884. However, the sensitivity of the first model was 0.9728,  higher than the sensitivity of the second model 0.9627. We then decided to use the first model to predict the test sample.</w:t>
      </w:r>
    </w:p>
    <w:p w:rsidR="00000000" w:rsidDel="00000000" w:rsidP="00000000" w:rsidRDefault="00000000" w:rsidRPr="00000000" w14:paraId="0000009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38"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left"/>
        <w:rPr/>
      </w:pPr>
      <w:r w:rsidDel="00000000" w:rsidR="00000000" w:rsidRPr="00000000">
        <w:rPr>
          <w:rFonts w:ascii="Times New Roman" w:cs="Times New Roman" w:eastAsia="Times New Roman" w:hAnsi="Times New Roman"/>
          <w:sz w:val="24"/>
          <w:szCs w:val="24"/>
        </w:rPr>
        <w:drawing>
          <wp:inline distB="114300" distT="114300" distL="114300" distR="114300">
            <wp:extent cx="5646105" cy="533846"/>
            <wp:effectExtent b="0" l="0" r="0" t="0"/>
            <wp:docPr id="26"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646105" cy="5338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spacing w:line="360" w:lineRule="auto"/>
        <w:rPr/>
      </w:pPr>
      <w:bookmarkStart w:colFirst="0" w:colLast="0" w:name="_usox0u9uysh3" w:id="6"/>
      <w:bookmarkEnd w:id="6"/>
      <w:r w:rsidDel="00000000" w:rsidR="00000000" w:rsidRPr="00000000">
        <w:rPr>
          <w:rtl w:val="0"/>
        </w:rPr>
        <w:t xml:space="preserve">Tree Model</w:t>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generated a tree model. </w:t>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6678" cy="2557463"/>
            <wp:effectExtent b="0" l="0" r="0" t="0"/>
            <wp:docPr id="25"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3126678" cy="2557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55263" cy="2519363"/>
            <wp:effectExtent b="0" l="0" r="0" t="0"/>
            <wp:docPr id="21"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18552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2932295"/>
            <wp:effectExtent b="0" l="0" r="0" t="0"/>
            <wp:docPr id="11"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4738688" cy="29322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with the SVM models, the Accuracy, the Pos Pred Value, and the Neg Pred Value of the Tree model were a little higher. However, the Sensitivity was lower than the first SVM Model.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tree model to predict the test sample.</w:t>
      </w:r>
      <w:r w:rsidDel="00000000" w:rsidR="00000000" w:rsidRPr="00000000">
        <w:rPr>
          <w:rFonts w:ascii="Times New Roman" w:cs="Times New Roman" w:eastAsia="Times New Roman" w:hAnsi="Times New Roman"/>
          <w:sz w:val="24"/>
          <w:szCs w:val="24"/>
        </w:rPr>
        <w:drawing>
          <wp:inline distB="114300" distT="114300" distL="114300" distR="114300">
            <wp:extent cx="5329238" cy="751559"/>
            <wp:effectExtent b="0" l="0" r="0" t="0"/>
            <wp:docPr id="34"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329238" cy="75155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test sample of 20 people, the SVM model and the tree model were used to predict whether these people were expensive. Though the first SVM model is our best model (because it has the highest sensitivity), we got the same results from the 2 models.   </w:t>
      </w:r>
    </w:p>
    <w:p w:rsidR="00000000" w:rsidDel="00000000" w:rsidP="00000000" w:rsidRDefault="00000000" w:rsidRPr="00000000" w14:paraId="000000A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556" cy="5207384"/>
            <wp:effectExtent b="0" l="0" r="0" t="0"/>
            <wp:docPr id="33"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2428556" cy="520738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1"/>
        <w:spacing w:line="360" w:lineRule="auto"/>
        <w:rPr>
          <w:rFonts w:ascii="Times New Roman" w:cs="Times New Roman" w:eastAsia="Times New Roman" w:hAnsi="Times New Roman"/>
          <w:sz w:val="24"/>
          <w:szCs w:val="24"/>
        </w:rPr>
      </w:pPr>
      <w:bookmarkStart w:colFirst="0" w:colLast="0" w:name="_qrwtaugo231t" w:id="7"/>
      <w:bookmarkEnd w:id="7"/>
      <w:r w:rsidDel="00000000" w:rsidR="00000000" w:rsidRPr="00000000">
        <w:rPr>
          <w:rtl w:val="0"/>
        </w:rPr>
        <w:t xml:space="preserve">Association Rules</w:t>
      </w:r>
      <w:r w:rsidDel="00000000" w:rsidR="00000000" w:rsidRPr="00000000">
        <w:rPr>
          <w:rtl w:val="0"/>
        </w:rPr>
      </w:r>
    </w:p>
    <w:p w:rsidR="00000000" w:rsidDel="00000000" w:rsidP="00000000" w:rsidRDefault="00000000" w:rsidRPr="00000000" w14:paraId="000000B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used association rules mining to predict whether someone would be expensive or not.</w:t>
      </w:r>
    </w:p>
    <w:p w:rsidR="00000000" w:rsidDel="00000000" w:rsidP="00000000" w:rsidRDefault="00000000" w:rsidRPr="00000000" w14:paraId="000000B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991043"/>
            <wp:effectExtent b="0" l="0" r="0" t="0"/>
            <wp:docPr id="32"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3405188" cy="299104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generated 16 rulesets, and these were the sets of rules with the highest lift:</w:t>
      </w:r>
    </w:p>
    <w:p w:rsidR="00000000" w:rsidDel="00000000" w:rsidP="00000000" w:rsidRDefault="00000000" w:rsidRPr="00000000" w14:paraId="000000B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930"/>
            <wp:effectExtent b="12700" l="12700" r="12700" t="12700"/>
            <wp:docPr id="59"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5943600" cy="22869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720"/>
        <w:jc w:val="left"/>
        <w:rPr>
          <w:sz w:val="40"/>
          <w:szCs w:val="40"/>
        </w:rPr>
      </w:pPr>
      <w:r w:rsidDel="00000000" w:rsidR="00000000" w:rsidRPr="00000000">
        <w:rPr>
          <w:rFonts w:ascii="Times New Roman" w:cs="Times New Roman" w:eastAsia="Times New Roman" w:hAnsi="Times New Roman"/>
          <w:sz w:val="24"/>
          <w:szCs w:val="24"/>
          <w:rtl w:val="0"/>
        </w:rPr>
        <w:t xml:space="preserve">If a person is a smoker,  with the BMI &gt;= 30 &amp; &lt; 40, and at the same time neither have yearly physical nor active exercise, this person has a higher probability of being expensive in health care cost.</w:t>
      </w:r>
      <w:r w:rsidDel="00000000" w:rsidR="00000000" w:rsidRPr="00000000">
        <w:rPr>
          <w:rtl w:val="0"/>
        </w:rPr>
      </w:r>
    </w:p>
    <w:p w:rsidR="00000000" w:rsidDel="00000000" w:rsidP="00000000" w:rsidRDefault="00000000" w:rsidRPr="00000000" w14:paraId="000000B9">
      <w:pPr>
        <w:pStyle w:val="Heading1"/>
        <w:spacing w:line="360" w:lineRule="auto"/>
        <w:rPr/>
      </w:pPr>
      <w:bookmarkStart w:colFirst="0" w:colLast="0" w:name="_jw8vwjfbcrvb" w:id="8"/>
      <w:bookmarkEnd w:id="8"/>
      <w:r w:rsidDel="00000000" w:rsidR="00000000" w:rsidRPr="00000000">
        <w:rPr>
          <w:rtl w:val="0"/>
        </w:rPr>
        <w:t xml:space="preserve">Conclusion</w:t>
      </w:r>
    </w:p>
    <w:p w:rsidR="00000000" w:rsidDel="00000000" w:rsidP="00000000" w:rsidRDefault="00000000" w:rsidRPr="00000000" w14:paraId="000000B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data exploration and analysis that we performed, we were able to identify patterns and trends that correlate with whether a person is expensive or not expensive in the healthcare industry. For instance, people that are smoker, are obese, extremely obese, not active in doing exercise, and not going to a yearly physical are most likely to be expensive. All of these factors increase the probability that a person is expensive. In addition to this, geographical factors come into play. Living in New York increases the chances that a person is expensive compared to people living in the surrounding states in the northeast. Additionally, as people get older they are more likely to be expensive and an increase in children (but less than 5) leads to an increase in price generally. </w:t>
      </w:r>
    </w:p>
    <w:p w:rsidR="00000000" w:rsidDel="00000000" w:rsidP="00000000" w:rsidRDefault="00000000" w:rsidRPr="00000000" w14:paraId="000000B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analysis of the data, we recommend that the health care company offer discounts for non-smokers and people with a BMI lower than 30, and offer special plans for people in New York State.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48.png"/><Relationship Id="rId41" Type="http://schemas.openxmlformats.org/officeDocument/2006/relationships/image" Target="media/image17.png"/><Relationship Id="rId44" Type="http://schemas.openxmlformats.org/officeDocument/2006/relationships/image" Target="media/image35.png"/><Relationship Id="rId43" Type="http://schemas.openxmlformats.org/officeDocument/2006/relationships/image" Target="media/image12.png"/><Relationship Id="rId46" Type="http://schemas.openxmlformats.org/officeDocument/2006/relationships/image" Target="media/image5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png"/><Relationship Id="rId47" Type="http://schemas.openxmlformats.org/officeDocument/2006/relationships/image" Target="media/image4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14.png"/><Relationship Id="rId8" Type="http://schemas.openxmlformats.org/officeDocument/2006/relationships/image" Target="media/image45.png"/><Relationship Id="rId31" Type="http://schemas.openxmlformats.org/officeDocument/2006/relationships/image" Target="media/image41.png"/><Relationship Id="rId30" Type="http://schemas.openxmlformats.org/officeDocument/2006/relationships/image" Target="media/image43.png"/><Relationship Id="rId33" Type="http://schemas.openxmlformats.org/officeDocument/2006/relationships/image" Target="media/image16.png"/><Relationship Id="rId32" Type="http://schemas.openxmlformats.org/officeDocument/2006/relationships/image" Target="media/image6.png"/><Relationship Id="rId35" Type="http://schemas.openxmlformats.org/officeDocument/2006/relationships/image" Target="media/image51.png"/><Relationship Id="rId34" Type="http://schemas.openxmlformats.org/officeDocument/2006/relationships/image" Target="media/image8.png"/><Relationship Id="rId37" Type="http://schemas.openxmlformats.org/officeDocument/2006/relationships/image" Target="media/image27.png"/><Relationship Id="rId36" Type="http://schemas.openxmlformats.org/officeDocument/2006/relationships/image" Target="media/image28.png"/><Relationship Id="rId39" Type="http://schemas.openxmlformats.org/officeDocument/2006/relationships/image" Target="media/image23.png"/><Relationship Id="rId38" Type="http://schemas.openxmlformats.org/officeDocument/2006/relationships/image" Target="media/image38.png"/><Relationship Id="rId62" Type="http://schemas.openxmlformats.org/officeDocument/2006/relationships/image" Target="media/image10.png"/><Relationship Id="rId61" Type="http://schemas.openxmlformats.org/officeDocument/2006/relationships/image" Target="media/image34.png"/><Relationship Id="rId20" Type="http://schemas.openxmlformats.org/officeDocument/2006/relationships/image" Target="media/image24.png"/><Relationship Id="rId64" Type="http://schemas.openxmlformats.org/officeDocument/2006/relationships/image" Target="media/image39.png"/><Relationship Id="rId63" Type="http://schemas.openxmlformats.org/officeDocument/2006/relationships/image" Target="media/image26.png"/><Relationship Id="rId22" Type="http://schemas.openxmlformats.org/officeDocument/2006/relationships/image" Target="media/image56.png"/><Relationship Id="rId66" Type="http://schemas.openxmlformats.org/officeDocument/2006/relationships/image" Target="media/image57.png"/><Relationship Id="rId21" Type="http://schemas.openxmlformats.org/officeDocument/2006/relationships/image" Target="media/image22.png"/><Relationship Id="rId65" Type="http://schemas.openxmlformats.org/officeDocument/2006/relationships/image" Target="media/image25.png"/><Relationship Id="rId24" Type="http://schemas.openxmlformats.org/officeDocument/2006/relationships/image" Target="media/image50.png"/><Relationship Id="rId23" Type="http://schemas.openxmlformats.org/officeDocument/2006/relationships/image" Target="media/image55.png"/><Relationship Id="rId60" Type="http://schemas.openxmlformats.org/officeDocument/2006/relationships/image" Target="media/image36.png"/><Relationship Id="rId26" Type="http://schemas.openxmlformats.org/officeDocument/2006/relationships/image" Target="media/image61.png"/><Relationship Id="rId25" Type="http://schemas.openxmlformats.org/officeDocument/2006/relationships/image" Target="media/image19.png"/><Relationship Id="rId28" Type="http://schemas.openxmlformats.org/officeDocument/2006/relationships/image" Target="media/image33.png"/><Relationship Id="rId27" Type="http://schemas.openxmlformats.org/officeDocument/2006/relationships/image" Target="media/image9.png"/><Relationship Id="rId29" Type="http://schemas.openxmlformats.org/officeDocument/2006/relationships/image" Target="media/image40.png"/><Relationship Id="rId51" Type="http://schemas.openxmlformats.org/officeDocument/2006/relationships/image" Target="media/image15.png"/><Relationship Id="rId50" Type="http://schemas.openxmlformats.org/officeDocument/2006/relationships/image" Target="media/image13.png"/><Relationship Id="rId53" Type="http://schemas.openxmlformats.org/officeDocument/2006/relationships/image" Target="media/image54.png"/><Relationship Id="rId52" Type="http://schemas.openxmlformats.org/officeDocument/2006/relationships/image" Target="media/image53.png"/><Relationship Id="rId11" Type="http://schemas.openxmlformats.org/officeDocument/2006/relationships/image" Target="media/image1.png"/><Relationship Id="rId55" Type="http://schemas.openxmlformats.org/officeDocument/2006/relationships/image" Target="media/image30.png"/><Relationship Id="rId10" Type="http://schemas.openxmlformats.org/officeDocument/2006/relationships/image" Target="media/image18.png"/><Relationship Id="rId54" Type="http://schemas.openxmlformats.org/officeDocument/2006/relationships/image" Target="media/image58.png"/><Relationship Id="rId13" Type="http://schemas.openxmlformats.org/officeDocument/2006/relationships/image" Target="media/image31.png"/><Relationship Id="rId57" Type="http://schemas.openxmlformats.org/officeDocument/2006/relationships/image" Target="media/image60.png"/><Relationship Id="rId12" Type="http://schemas.openxmlformats.org/officeDocument/2006/relationships/image" Target="media/image49.png"/><Relationship Id="rId56" Type="http://schemas.openxmlformats.org/officeDocument/2006/relationships/image" Target="media/image59.png"/><Relationship Id="rId15" Type="http://schemas.openxmlformats.org/officeDocument/2006/relationships/image" Target="media/image32.png"/><Relationship Id="rId59" Type="http://schemas.openxmlformats.org/officeDocument/2006/relationships/image" Target="media/image29.png"/><Relationship Id="rId14" Type="http://schemas.openxmlformats.org/officeDocument/2006/relationships/image" Target="media/image20.png"/><Relationship Id="rId58" Type="http://schemas.openxmlformats.org/officeDocument/2006/relationships/image" Target="media/image44.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46.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