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宋体"/>
          <w:color w:val="000000"/>
          <w:sz w:val="44"/>
        </w:rPr>
        <w:t>实验原始记录模板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配套</w:t>
      </w:r>
      <w:r>
        <w:rPr>
          <w:rFonts w:ascii="Calibri" w:hAnsi="Calibri" w:eastAsia="宋体"/>
          <w:color w:val="000000"/>
          <w:sz w:val="21"/>
        </w:rPr>
        <w:t>手册（实验执行手册.md）</w:t>
      </w:r>
      <w:r>
        <w:rPr>
          <w:rFonts w:ascii="Calibri" w:hAnsi="Calibri" w:eastAsia="宋体"/>
          <w:color w:val="000000"/>
          <w:sz w:val="21"/>
        </w:rPr>
        <w:t>和</w:t>
      </w:r>
      <w:r>
        <w:rPr>
          <w:rFonts w:ascii="Calibri" w:hAnsi="Calibri" w:eastAsia="宋体"/>
          <w:color w:val="000000"/>
          <w:sz w:val="21"/>
        </w:rPr>
        <w:t>论文（论文_原图风格修订_实验待实测.docx）</w:t>
      </w:r>
      <w:r>
        <w:rPr>
          <w:rFonts w:ascii="Calibri" w:hAnsi="Calibri" w:eastAsia="宋体"/>
          <w:color w:val="000000"/>
          <w:sz w:val="21"/>
        </w:rPr>
        <w:t>。复制另存后填写，不覆盖空白母版。待填不等于0，NA必须附原因；保留首次失败，重试另编号。表格可以复制扩展；统计列不会算可交给我。</w:t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A. 环境与恢复确认单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7070"/>
        <w:gridCol w:w="7070"/>
      </w:tblGrid>
      <w:tr>
        <w:trPr>
          <w:tblHeader w:val="true"/>
        </w:trP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实际记录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日期、执行人、复核人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代码版本/工作区标识及未提交变更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本地开发/Docker、实际前端地址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测试库用途，是否含正式数据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待确认；不是授权清空数据库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S0备份标识、时间、工具（不含密码）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经确认的备份/恢复具体步骤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待确认；试运行、E1及E2的所有恢复均须先确认，未确认不做恢复或双路径导入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恢复前如何保存证据/停止任务，恢复后如何检查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账号、元数据、招生/学籍起始数据检查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文件、Redis和进程不随备份恢复时的处理约定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操作系统、CPU、内存、GPU、OCR实际设备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JDK、Spring Boot、Python、PaddleOCR/PaddlePaddle实际版本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PostgreSQL、pgvector、Redis实际版本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视觉/文本/嵌入模型与日期，不填密钥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网络、缓存、后台任务、客户端/服务端是否同机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脱敏开关原状态、允许观察模拟值条件及结束恢复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E2最大观察时长（试运行后、正式前定）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E3检索入口是否可达、全部ready资料版本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JMeter版本及连接/响应超时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  <w:tr>
        <w:tc>
          <w:tcPr>
            <w:tcW w:type="dxa" w:w="387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证据位置（数据库和storage之外）</w:t>
            </w:r>
          </w:p>
        </w:tc>
        <w:tc>
          <w:tcPr>
            <w:tcW w:type="dxa" w:w="9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待填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B. 字段、样本与真值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828"/>
        <w:gridCol w:w="2828"/>
        <w:gridCol w:w="2828"/>
        <w:gridCol w:w="2828"/>
        <w:gridCol w:w="2828"/>
      </w:tblGrid>
      <w:tr>
        <w:trPr>
          <w:tblHeader w:val="true"/>
        </w:trPr>
        <w:tc>
          <w:tcPr>
            <w:tcW w:type="dxa" w:w="21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field_code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响应字段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规范化规则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主评纳入/排除原因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8"/>
              </w:rPr>
              <w:t>人工上传值</w:t>
            </w:r>
          </w:p>
        </w:tc>
      </w:tr>
      <w:tr>
        <w:tc>
          <w:tcPr>
            <w:tcW w:type="dxa" w:w="21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student_no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studentNo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字符串保留前导零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待定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</w:p>
        </w:tc>
      </w:tr>
      <w:tr>
        <w:tc>
          <w:tcPr>
            <w:tcW w:type="dxa" w:w="21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name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name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去首尾空白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待定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</w:p>
        </w:tc>
      </w:tr>
      <w:tr>
        <w:tc>
          <w:tcPr>
            <w:tcW w:type="dxa" w:w="21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gender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gender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去首尾空白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待定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</w:p>
        </w:tc>
      </w:tr>
      <w:tr>
        <w:tc>
          <w:tcPr>
            <w:tcW w:type="dxa" w:w="21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province_name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provinceName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去首尾空白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待定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</w:p>
        </w:tc>
      </w:tr>
      <w:tr>
        <w:tc>
          <w:tcPr>
            <w:tcW w:type="dxa" w:w="21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admission_date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admissionDate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完整YYYY-MM-DD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待定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</w:p>
        </w:tc>
      </w:tr>
      <w:tr>
        <w:tc>
          <w:tcPr>
            <w:tcW w:type="dxa" w:w="21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admission_score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admissionScore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整数含义</w:t>
            </w:r>
          </w:p>
        </w:tc>
        <w:tc>
          <w:tcPr>
            <w:tcW w:type="dxa" w:w="30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宋体"/>
                <w:color w:val="000000"/>
                <w:sz w:val="18"/>
              </w:rPr>
              <w:t>待定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left"/>
            </w:pP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正式D01—D30，三层各10页；试运行P01—P06，不算正式成绩。每页至少5条。同源变体共用family_id。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rPr>
          <w:tblHeader w:val="true"/>
        </w:trPr>
        <w:tc>
          <w:tcPr>
            <w:tcW w:type="dxa" w:w="9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doc_id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family_id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文件名/SHA256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样本层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档案类型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记录数/尺寸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来源许可或模拟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处理说明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正式/试运行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随机顺序</w:t>
            </w:r>
          </w:p>
        </w:tc>
        <w:tc>
          <w:tcPr>
            <w:tcW w:type="dxa" w:w="10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先OCR/先MLLM</w:t>
            </w:r>
          </w:p>
        </w:tc>
      </w:tr>
      <w:tr>
        <w:tc>
          <w:tcPr>
            <w:tcW w:type="dxa" w:w="9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0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SHA256可用PowerShell的</w:t>
      </w:r>
      <w:r>
        <w:rPr>
          <w:rFonts w:ascii="Consolas" w:hAnsi="Consolas" w:eastAsia="等线"/>
          <w:color w:val="374151"/>
          <w:sz w:val="20"/>
        </w:rPr>
        <w:t>Get-FileHash -Algorithm SHA256 -LiteralPath '图片完整路径'</w:t>
      </w:r>
      <w:r>
        <w:rPr>
          <w:rFonts w:ascii="Calibri" w:hAnsi="Calibri" w:eastAsia="宋体"/>
          <w:color w:val="000000"/>
          <w:sz w:val="21"/>
        </w:rPr>
        <w:t>读取；不会操作先保存原图，由我核对。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真值先于运行填写，一行一个字段。source_status=explicit原文明确、blank原文空白、unreadable原文不可辨认、completed需规则补全。manual_input单列；“输出不可观察”在下表记，不冒充原文不可辨认。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rPr>
          <w:tblHeader w:val="true"/>
        </w:trP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doc_id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row_id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field_code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原文值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规范化真值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source_status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manual_input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标注者/日期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复核者/日期</w:t>
            </w: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分歧</w:t>
            </w:r>
          </w:p>
        </w:tc>
      </w:tr>
      <w:t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C. 采集运行与评分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run_id如D01_OCR_01；重试02并填retry_of。恢复可能重复taskId，以run_id＋taskId关联。时间带日期，来自同一本机时钟/录像。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rPr>
          <w:tblHeader w:val="true"/>
        </w:trP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run_id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doc_id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OCR/MLLM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正式/试运行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retry_of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S0/恢复时间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起点已核对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taskId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fileId/来源文件</w:t>
            </w: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上传参数</w:t>
            </w:r>
          </w:p>
        </w:tc>
      </w:tr>
      <w:t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rPr>
          <w:tblHeader w:val="true"/>
        </w:trPr>
        <w:tc>
          <w:tcPr>
            <w:tcW w:type="dxa" w:w="9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run_id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t0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t1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t2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时间来源/单位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系统终态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失败/超时/取消原因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观察时长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上传/终态/全部业务证据位置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恢复前已保存</w:t>
            </w:r>
          </w:p>
        </w:tc>
        <w:tc>
          <w:tcPr>
            <w:tcW w:type="dxa" w:w="10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模型/费用批次</w:t>
            </w:r>
          </w:p>
        </w:tc>
      </w:tr>
      <w:tr>
        <w:tc>
          <w:tcPr>
            <w:tcW w:type="dxa" w:w="9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0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字段核对一行一个字段。额外预测行记extra，缺失预测行记missing，不能只填成功行。observability=可观察/不可观察。TP/FP/FN可先留空。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取证前清除关键词、层次和时间等全部筛选并保存所有分页。部分入库失败按实际字段逐项计分，页面失败另记，不再整页追加FN；只有整页无业务输出时全部可评真值字段计FN。无法取得输出与确实没有输出须区分，前者记录缺测原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rPr>
          <w:tblHeader w:val="true"/>
        </w:trP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run_id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预测行或missing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匹配row_id或extra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匹配依据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field_code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原始输出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规范化输出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observability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判定/排除原因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TP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FP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FN</w:t>
            </w:r>
          </w:p>
        </w:tc>
        <w:tc>
          <w:tcPr>
            <w:tcW w:type="dxa" w:w="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证据</w:t>
            </w:r>
          </w:p>
        </w:tc>
      </w:tr>
      <w:tr>
        <w:tc>
          <w:tcPr>
            <w:tcW w:type="dxa" w:w="7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0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完整记录率分母：一行一条真值记录；含不可辨认/不可观察字段排除，失败页不能直接排除。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rPr>
          <w:tblHeader w:val="true"/>
        </w:trP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run_id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row_id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不可辨认字段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不可观察字段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有无主评字段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是否进入分母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全部可评字段正确且无额外非空字段</w:t>
            </w: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排除/失败原因</w:t>
            </w: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tblHeader w:val="true"/>
        </w:trPr>
        <w:tc>
          <w:tcPr>
            <w:tcW w:type="dxa" w:w="152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费用批次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起止时间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模型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正式页数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试运行/PDF/重试等额外调用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独立账单金额或NA</w:t>
            </w:r>
          </w:p>
        </w:tc>
        <w:tc>
          <w:tcPr>
            <w:tcW w:type="dxa" w:w="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证据/原因</w:t>
            </w:r>
          </w:p>
        </w:tc>
      </w:tr>
      <w:tr>
        <w:tc>
          <w:tcPr>
            <w:tcW w:type="dxa" w:w="152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rPr>
          <w:tblHeader w:val="true"/>
        </w:trP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case_id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实验/运行号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原始证据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预期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实际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错误类别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解释依据</w:t>
            </w: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敏感信息已处理</w:t>
            </w: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D. E1功能测试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结果只用通过/失败/阻塞。“部分满足”写备注，不算半个通过；默认待执行不是失败。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rPr>
          <w:tblHeader w:val="true"/>
        </w:trP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case_id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内容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输入/事先预期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实际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结果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任务/时间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证据</w:t>
            </w: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失败/阻塞或未做分项</w:t>
            </w: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F01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正确登录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F02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错误及重复验证码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F03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CSV招生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F04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XLSX招生与学籍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F05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图像OCR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F06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图像MLLM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F07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两页PDF OCR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F08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两页PDF MLLM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F09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重复导入更新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F10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毕业及毕业状态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F11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取消及本地停止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F12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无法解析材料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F13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关键词/层次筛选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F14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统计图表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F15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TXT入库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F16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知识提问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F17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报告打印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F18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更新后统计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待执行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7FAFC"/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E. E3问答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资料、题目与真值先填写，随后调用系统。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rPr>
          <w:tblHeader w:val="true"/>
        </w:trP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资料ID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标题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原文位置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版本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模拟/来源许可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知识库ID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ready/块数</w:t>
            </w: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其他ready资料范围</w:t>
            </w:r>
          </w:p>
        </w:tc>
      </w:tr>
      <w:tr>
        <w:tc>
          <w:tcPr>
            <w:tcW w:type="dxa" w:w="132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5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tblHeader w:val="true"/>
        </w:trPr>
        <w:tc>
          <w:tcPr>
            <w:tcW w:type="dxa" w:w="152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question_id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单段/多依据/范围外/数据库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固定问题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标准要点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必要标题/段落或数据库真值清单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数据版本</w:t>
            </w:r>
          </w:p>
        </w:tc>
        <w:tc>
          <w:tcPr>
            <w:tcW w:type="dxa" w:w="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拟定日期</w:t>
            </w:r>
          </w:p>
        </w:tc>
      </w:tr>
      <w:tr>
        <w:tc>
          <w:tcPr>
            <w:tcW w:type="dxa" w:w="152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211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K01—K25独立检索各一次。NA说明缺测原因，标题相同不代表内容命中。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rPr>
          <w:tblHeader w:val="true"/>
        </w:trPr>
        <w:tc>
          <w:tcPr>
            <w:tcW w:type="dxa" w:w="116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question_id</w:t>
            </w: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时间</w:t>
            </w: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资料版本</w:t>
            </w: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top_k</w:t>
            </w: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前三块ID/标题</w:t>
            </w: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原始results位置</w:t>
            </w: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hit_any 1/0/NA</w:t>
            </w: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all_evidence 1/0/NA</w:t>
            </w: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依据/缺测原因</w:t>
            </w:r>
          </w:p>
        </w:tc>
      </w:tr>
      <w:tr>
        <w:tc>
          <w:tcPr>
            <w:tcW w:type="dxa" w:w="116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3</w:t>
            </w: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6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60次知识回答＋10次数据库回答，保留首次结果：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rPr>
          <w:tblHeader w:val="true"/>
        </w:trP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question_id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repeat_id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空历史确认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发送/时间来源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服务端首状态秒或NA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完整答案秒或NA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调用成功/失败/阻塞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原回答位置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工具/联网</w:t>
            </w: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重试关联/异常</w:t>
            </w:r>
          </w:p>
        </w:tc>
      </w:tr>
      <w:t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8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question_id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repeat_id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评分人1/日期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原分1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评分人2/日期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原分2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知识最终分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正确拒答1/0/NA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数据库正确1/0/NA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无依据陈述1/0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分歧及最终依据</w:t>
            </w:r>
          </w:p>
        </w:tc>
        <w:tc>
          <w:tcPr>
            <w:tcW w:type="dxa" w:w="9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错误类别</w:t>
            </w:r>
          </w:p>
        </w:tc>
      </w:tr>
      <w:tr>
        <w:tc>
          <w:tcPr>
            <w:tcW w:type="dxa" w:w="8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9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知识2分=完整且无实质错误；1分=部分正确且无关键错误；0分=关键错误、核心遗漏、编造或没有可用回答。网络报错不是正确拒答。没有第二评分人时填NA并说明，不能编造。</w:t>
      </w:r>
    </w:p>
    <w:p>
      <w:r>
        <w:br w:type="page"/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F. E4响应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每轮明细直接保存JMeter CSV，不用抄100行。正式18轮：dashboard/admission各c1/c5/c10、各r1/r2/r3；预访问5次另存，重试也另存。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rPr>
          <w:tblHeader w:val="true"/>
        </w:trP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endpoint/参数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concurrency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round_id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起止时间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正式CSV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预访问文件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计划数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实际数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数据量/缓存/背景任务</w:t>
            </w: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中断原因/原轮关联</w:t>
            </w:r>
          </w:p>
        </w:tc>
      </w:tr>
      <w:t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100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可选汇总，不会算留给我：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rPr>
          <w:tblHeader w:val="true"/>
        </w:trP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endpoint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concurrency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round_id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成功数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失败数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整轮秒数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P50毫秒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P95毫秒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成功吞吐量/秒</w:t>
            </w: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备注</w:t>
            </w:r>
          </w:p>
        </w:tc>
      </w:tr>
      <w:tr>
        <w:tc>
          <w:tcPr>
            <w:tcW w:type="dxa" w:w="10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45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1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G. E5可选预测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是否开展及原因：待填。年度不足写未实施，不编数据。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rPr>
          <w:tblHeader w:val="true"/>
        </w:trPr>
        <w:tc>
          <w:tcPr>
            <w:tcW w:type="dxa" w:w="9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origin_year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训练年份/人数位置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留出年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留出真实人数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预测人数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持平基线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分支状态或NA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退出码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成功/失败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输出JSON/标准错误</w:t>
            </w:r>
          </w:p>
        </w:tc>
        <w:tc>
          <w:tcPr>
            <w:tcW w:type="dxa" w:w="10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b/>
                <w:color w:val="000000"/>
                <w:sz w:val="17"/>
              </w:rPr>
              <w:t>原因</w:t>
            </w:r>
          </w:p>
        </w:tc>
      </w:tr>
      <w:tr>
        <w:tc>
          <w:tcPr>
            <w:tcW w:type="dxa" w:w="9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宋体"/>
                <w:color w:val="000000"/>
                <w:sz w:val="17"/>
              </w:rPr>
              <w:t>待填</w:t>
            </w: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3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  <w:tc>
          <w:tcPr>
            <w:tcW w:type="dxa" w:w="10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rPr>
          <w:rFonts w:ascii="Calibri" w:hAnsi="Calibri" w:eastAsia="宋体"/>
          <w:color w:val="000000"/>
          <w:sz w:val="26"/>
        </w:rPr>
        <w:t>H. 交回前检查</w:t>
      </w:r>
    </w:p>
    <w:p>
      <w:pPr>
        <w:ind w:left="255"/>
      </w:pPr>
      <w:r>
        <w:rPr>
          <w:rFonts w:ascii="Calibri" w:hAnsi="Calibri" w:eastAsia="宋体"/>
          <w:color w:val="000000"/>
          <w:sz w:val="21"/>
        </w:rPr>
        <w:t>☐ 环境、S0恢复、固定字段、随机顺序有记录。</w:t>
      </w:r>
    </w:p>
    <w:p>
      <w:pPr>
        <w:ind w:left="255"/>
      </w:pPr>
      <w:r>
        <w:rPr>
          <w:rFonts w:ascii="Calibri" w:hAnsi="Calibri" w:eastAsia="宋体"/>
          <w:color w:val="000000"/>
          <w:sz w:val="21"/>
        </w:rPr>
        <w:t>☐ 真值在运行前完成，同源变体标记清楚。</w:t>
      </w:r>
    </w:p>
    <w:p>
      <w:pPr>
        <w:ind w:left="255"/>
      </w:pPr>
      <w:r>
        <w:rPr>
          <w:rFonts w:ascii="Calibri" w:hAnsi="Calibri" w:eastAsia="宋体"/>
          <w:color w:val="000000"/>
          <w:sz w:val="21"/>
        </w:rPr>
        <w:t>☐ E1的18项有结论，未做分项未算通过。</w:t>
      </w:r>
    </w:p>
    <w:p>
      <w:pPr>
        <w:ind w:left="255"/>
      </w:pPr>
      <w:r>
        <w:rPr>
          <w:rFonts w:ascii="Calibri" w:hAnsi="Calibri" w:eastAsia="宋体"/>
          <w:color w:val="000000"/>
          <w:sz w:val="21"/>
        </w:rPr>
        <w:t>☐ E2的60次首次运行有全部证据，失败/不可评/缺项/重试单列。</w:t>
      </w:r>
    </w:p>
    <w:p>
      <w:pPr>
        <w:ind w:left="255"/>
      </w:pPr>
      <w:r>
        <w:rPr>
          <w:rFonts w:ascii="Calibri" w:hAnsi="Calibri" w:eastAsia="宋体"/>
          <w:color w:val="000000"/>
          <w:sz w:val="21"/>
        </w:rPr>
        <w:t>☐ E3的25次独立检索、70次原回答及评分可追溯，缺测明确。</w:t>
      </w:r>
    </w:p>
    <w:p>
      <w:pPr>
        <w:ind w:left="255"/>
      </w:pPr>
      <w:r>
        <w:rPr>
          <w:rFonts w:ascii="Calibri" w:hAnsi="Calibri" w:eastAsia="宋体"/>
          <w:color w:val="000000"/>
          <w:sz w:val="21"/>
        </w:rPr>
        <w:t>☐ E4的18轮计划各100次，实际请求数和中断未被覆盖。</w:t>
      </w:r>
    </w:p>
    <w:p>
      <w:pPr>
        <w:ind w:left="255"/>
      </w:pPr>
      <w:r>
        <w:rPr>
          <w:rFonts w:ascii="Calibri" w:hAnsi="Calibri" w:eastAsia="宋体"/>
          <w:color w:val="000000"/>
          <w:sz w:val="21"/>
        </w:rPr>
        <w:t>☐ E5未实施时有原因。</w:t>
      </w:r>
    </w:p>
    <w:p>
      <w:pPr>
        <w:ind w:left="255"/>
      </w:pPr>
      <w:r>
        <w:rPr>
          <w:rFonts w:ascii="Calibri" w:hAnsi="Calibri" w:eastAsia="宋体"/>
          <w:color w:val="000000"/>
          <w:sz w:val="21"/>
        </w:rPr>
        <w:t>☐ 分享材料不含真实个人信息、密码、登录响应、令牌或API密钥。</w:t>
      </w:r>
    </w:p>
    <w:p>
      <w:pPr>
        <w:ind w:firstLine="420"/>
      </w:pPr>
      <w:r>
        <w:rPr>
          <w:rFonts w:ascii="Calibri" w:hAnsi="Calibri" w:eastAsia="宋体"/>
          <w:color w:val="000000"/>
          <w:sz w:val="21"/>
        </w:rPr>
        <w:t>打勾只代表材料已核对，不代表系统全部测试通过。</w:t>
      </w:r>
    </w:p>
    <w:sectPr w:rsidR="00FC693F" w:rsidRPr="0006063C" w:rsidSect="00034616">
      <w:footerReference w:type="default" r:id="rId9"/>
      <w:pgSz w:w="15840" w:h="12240" w:orient="landscape"/>
      <w:pgMar w:top="1020" w:right="850" w:bottom="96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000000"/>
        <w:sz w:val="18"/>
      </w:rPr>
      <w:t xml:space="preserve">第 </w:t>
    </w:r>
    <w:fldSimple w:instr="PAGE"/>
    <w:r>
      <w:rPr>
        <w:rFonts w:ascii="Calibri" w:hAnsi="Calibri" w:eastAsia="宋体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实验原始记录模板</dc:title>
  <dc:subject>ArchiveBridge论文实验执行与原始数据记录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