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F14393C" w14:textId="77777777" w:rsidR="00D16FAC" w:rsidRPr="00862C65" w:rsidRDefault="00D16FAC" w:rsidP="00D16FAC">
      <w:pPr>
        <w:rPr>
          <w:rFonts w:ascii="Times New Roman" w:hAnsi="Times New Roman" w:cs="Times New Roman"/>
          <w:b/>
          <w:bCs/>
          <w:lang w:val="en-US"/>
        </w:rPr>
      </w:pPr>
      <w:r w:rsidRPr="00862C65">
        <w:rPr>
          <w:rFonts w:ascii="Times New Roman" w:hAnsi="Times New Roman" w:cs="Times New Roman"/>
        </w:rPr>
        <w:t xml:space="preserve">Many techniques have been used to maximize return on investment and minimize potential losses in the stock market. </w:t>
      </w:r>
      <w:r w:rsidRPr="00862C65">
        <w:rPr>
          <w:rFonts w:ascii="Times New Roman" w:hAnsi="Times New Roman" w:cs="Times New Roman"/>
          <w:b/>
          <w:bCs/>
        </w:rPr>
        <w:t>Below are some traditional and machine learning-based techniques used in the market:</w:t>
      </w:r>
    </w:p>
    <w:p w14:paraId="35E46C58"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Modern Portfolio Theory</w:t>
      </w:r>
    </w:p>
    <w:p w14:paraId="171D32A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Modern Portfolio Theory, introduced by American economist Harry Markowitz in his paper </w:t>
      </w:r>
      <w:hyperlink r:id="rId9" w:tgtFrame="_blank" w:history="1">
        <w:r w:rsidRPr="00862C65">
          <w:rPr>
            <w:rStyle w:val="Hyperlink"/>
            <w:rFonts w:ascii="Times New Roman" w:hAnsi="Times New Roman" w:cs="Times New Roman"/>
          </w:rPr>
          <w:t>Portfolio Selection</w:t>
        </w:r>
      </w:hyperlink>
      <w:r w:rsidRPr="00862C65">
        <w:rPr>
          <w:rFonts w:ascii="Times New Roman" w:hAnsi="Times New Roman" w:cs="Times New Roman"/>
        </w:rPr>
        <w:t xml:space="preserve"> in 1952, provides a mathematical framework for assembling a multiple-asset portfolio such that the expected return is maximized for a certain level of risk. In other words, a person can achieve a level of expected value with minimum risk. </w:t>
      </w:r>
    </w:p>
    <w:p w14:paraId="562C08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Before MPT, most investment decisions heavily depended on individual security analysis without considering the overall portfolio. MPT shifted the focus to the portfolio, emphasizing the need for diversification.</w:t>
      </w:r>
    </w:p>
    <w:p w14:paraId="72614B63" w14:textId="77777777" w:rsidR="00D16FAC" w:rsidRPr="00862C65" w:rsidRDefault="00D16FAC" w:rsidP="00D16FAC">
      <w:pPr>
        <w:rPr>
          <w:rFonts w:ascii="Times New Roman" w:hAnsi="Times New Roman" w:cs="Times New Roman"/>
        </w:rPr>
      </w:pPr>
    </w:p>
    <w:p w14:paraId="19961CB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Modern Portfolio Theory:</w:t>
      </w:r>
      <w:r w:rsidRPr="00862C65">
        <w:rPr>
          <w:rFonts w:ascii="Times New Roman" w:hAnsi="Times New Roman" w:cs="Times New Roman"/>
          <w:b/>
          <w:bCs/>
        </w:rPr>
        <w:br/>
      </w:r>
      <w:r w:rsidRPr="00862C65">
        <w:rPr>
          <w:rFonts w:ascii="Times New Roman" w:hAnsi="Times New Roman" w:cs="Times New Roman"/>
        </w:rPr>
        <w:t>1. Expected Return: The anticipated return an investor expects to earn</w:t>
      </w:r>
      <w:r w:rsidRPr="00862C65">
        <w:rPr>
          <w:rFonts w:ascii="Times New Roman" w:hAnsi="Times New Roman" w:cs="Times New Roman"/>
        </w:rPr>
        <w:br/>
        <w:t>2. Risk: The potential variability or volatility of returns</w:t>
      </w:r>
      <w:r w:rsidRPr="00862C65">
        <w:rPr>
          <w:rFonts w:ascii="Times New Roman" w:hAnsi="Times New Roman" w:cs="Times New Roman"/>
        </w:rPr>
        <w:br/>
        <w:t>3. Covariance: The measure of how two assets move in relation to each other</w:t>
      </w:r>
      <w:r w:rsidRPr="00862C65">
        <w:rPr>
          <w:rFonts w:ascii="Times New Roman" w:hAnsi="Times New Roman" w:cs="Times New Roman"/>
        </w:rPr>
        <w:br/>
        <w:t>4. Correlation: The statistical measure of the relationship between two variables</w:t>
      </w:r>
    </w:p>
    <w:p w14:paraId="2ED9373B" w14:textId="77777777" w:rsidR="00D16FAC" w:rsidRPr="00862C65" w:rsidRDefault="00D16FAC" w:rsidP="00D16FAC">
      <w:pPr>
        <w:rPr>
          <w:rFonts w:ascii="Times New Roman" w:hAnsi="Times New Roman" w:cs="Times New Roman"/>
        </w:rPr>
      </w:pPr>
    </w:p>
    <w:p w14:paraId="5E28B19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5A31E1E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1. Bases the assumption that on historical data alone and doesn’t include the market fluctuations.</w:t>
      </w:r>
    </w:p>
    <w:p w14:paraId="46B4DC12"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MPT doesn’t take extra costs into consideration, such as broker commissions or taxes.</w:t>
      </w:r>
    </w:p>
    <w:p w14:paraId="236B875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M</w:t>
      </w:r>
      <w:r w:rsidRPr="00862C65">
        <w:rPr>
          <w:rFonts w:ascii="Times New Roman" w:hAnsi="Times New Roman" w:cs="Times New Roman"/>
          <w:color w:val="232222"/>
          <w:sz w:val="29"/>
          <w:szCs w:val="29"/>
          <w:shd w:val="clear" w:color="auto" w:fill="FFFFFF"/>
        </w:rPr>
        <w:t>o</w:t>
      </w:r>
      <w:r w:rsidRPr="00862C65">
        <w:rPr>
          <w:rFonts w:ascii="Times New Roman" w:hAnsi="Times New Roman" w:cs="Times New Roman"/>
        </w:rPr>
        <w:t>dern portfolio theory assumes that investors are risk-averse, completely rational, and have realistic investment returns.</w:t>
      </w:r>
    </w:p>
    <w:p w14:paraId="6F34D90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4. Highly sensitive to input estimation errors, leading to unstable portfolios.</w:t>
      </w:r>
    </w:p>
    <w:p w14:paraId="5977682A" w14:textId="77777777" w:rsidR="00D16FAC" w:rsidRPr="00862C65" w:rsidRDefault="00D16FAC" w:rsidP="00D16FAC">
      <w:pPr>
        <w:rPr>
          <w:rFonts w:ascii="Times New Roman" w:hAnsi="Times New Roman" w:cs="Times New Roman"/>
        </w:rPr>
      </w:pPr>
    </w:p>
    <w:p w14:paraId="54E4061F"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Markowitz Mean-Variance Model</w:t>
      </w:r>
    </w:p>
    <w:p w14:paraId="4ACBBE8F"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It a mathematical model also introduced by Harry Markowitz in the 1950s, seeks to construct an “efficient frontier” of portfolios that offer the highest expected return for a given level of risk, and vice versa. It’s base idea is that the investors are extremely averse to risk,</w:t>
      </w:r>
      <w:r w:rsidRPr="00862C65">
        <w:rPr>
          <w:rFonts w:ascii="Times New Roman" w:hAnsi="Times New Roman" w:cs="Times New Roman"/>
          <w:color w:val="242424"/>
          <w:spacing w:val="-1"/>
          <w:sz w:val="30"/>
          <w:szCs w:val="30"/>
          <w:shd w:val="clear" w:color="auto" w:fill="FFFFFF"/>
        </w:rPr>
        <w:t xml:space="preserve"> </w:t>
      </w:r>
      <w:r w:rsidRPr="00862C65">
        <w:rPr>
          <w:rFonts w:ascii="Times New Roman" w:hAnsi="Times New Roman" w:cs="Times New Roman"/>
        </w:rPr>
        <w:t>and will only accept more risk if compensated by higher expected returns. This model works on the foundation that an investor would not have a reason to invest in a determined portfolio if there was another option with a more favourable risk-expected return. The idea is then to determine the optimal combination of securities by balancing their expected returns against the risks associated with them. It also assumes that the investors can effectively reduce the risk by hold a combination of assets that are not positively correlated with each other.</w:t>
      </w:r>
    </w:p>
    <w:p w14:paraId="055A51F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50808CF" w14:textId="77777777" w:rsidR="00D16FAC" w:rsidRPr="00862C65" w:rsidRDefault="00D16FAC" w:rsidP="00D16FAC">
      <w:pPr>
        <w:rPr>
          <w:rFonts w:ascii="Times New Roman" w:hAnsi="Times New Roman" w:cs="Times New Roman"/>
          <w:b/>
          <w:bCs/>
        </w:rPr>
      </w:pPr>
      <w:r w:rsidRPr="00862C65">
        <w:rPr>
          <w:rFonts w:ascii="Times New Roman" w:hAnsi="Times New Roman" w:cs="Times New Roman"/>
        </w:rPr>
        <w:t xml:space="preserve">1. It only considers the mean and variance of returns when optimizing a portfolio and does not account for skewness in returns. </w:t>
      </w:r>
    </w:p>
    <w:p w14:paraId="5046EC5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Another shortfall of MVO is that it prevents investors from expressing their views on future asset performance.</w:t>
      </w:r>
    </w:p>
    <w:p w14:paraId="4BE61B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Highly sensitive to input estimation errors, leading to unstable portfolios.</w:t>
      </w:r>
    </w:p>
    <w:p w14:paraId="55CC1325" w14:textId="77777777" w:rsidR="00D16FAC" w:rsidRPr="00862C65" w:rsidRDefault="00D16FAC" w:rsidP="00D16FAC">
      <w:pPr>
        <w:rPr>
          <w:rFonts w:ascii="Times New Roman" w:hAnsi="Times New Roman" w:cs="Times New Roman"/>
          <w:b/>
          <w:bCs/>
        </w:rPr>
      </w:pPr>
    </w:p>
    <w:p w14:paraId="11075DAB"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Black-Litterman Approach</w:t>
      </w:r>
    </w:p>
    <w:p w14:paraId="62A119D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Black-Litterman model was developed to address these issues by reversing the MVO process. In contrast to starting with expected returns and deriving the optimal portfolio, Black-Litterman begins with a neutral portfolio — typically a market cap-weighted portfolio — and adjusts expected returns and covariances based on investors’ views. It enforces a sophisticated portfolio construction method that overcomes the problem of unintuitive, highly-concentrated portfolios, input sensitivity, and estimation error maximization, which are known shortcomings of mean-variance optimization. A Black-Litterman model calculates stable expected returns which are fed into a Mean-Variance Optimizer, which uses the returns in conjunction with different risk predictions and measures to calculate a robust portfolio.</w:t>
      </w:r>
    </w:p>
    <w:p w14:paraId="5968900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three aspects:</w:t>
      </w:r>
    </w:p>
    <w:p w14:paraId="1B6AA80D"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Stability:</w:t>
      </w:r>
    </w:p>
    <w:p w14:paraId="65BDBB16"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b/>
          <w:bCs/>
        </w:rPr>
        <w:t xml:space="preserve"> </w:t>
      </w:r>
      <w:r w:rsidRPr="00862C65">
        <w:rPr>
          <w:rFonts w:ascii="Times New Roman" w:hAnsi="Times New Roman" w:cs="Times New Roman"/>
        </w:rPr>
        <w:t>Unlike traditional portfolio optimization methods that rely heavily on historical return data, the Equilibrium Market Return Vector leverages the current market portfolio’s weights. This leads to more stable and reliable expected return estimates.</w:t>
      </w:r>
    </w:p>
    <w:p w14:paraId="3ABF15F5"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Less sensitivity to input estimation:</w:t>
      </w:r>
    </w:p>
    <w:p w14:paraId="4FBA1F1C"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lastRenderedPageBreak/>
        <w:t> With the model starting from the equilibrium portfolio and making small adjustments based on the investor’s views, the model is less likely to suggest extreme positions for the portfolio.</w:t>
      </w:r>
    </w:p>
    <w:p w14:paraId="32485D79"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Intuition</w:t>
      </w:r>
      <w:r w:rsidRPr="00862C65">
        <w:rPr>
          <w:rFonts w:ascii="Times New Roman" w:hAnsi="Times New Roman" w:cs="Times New Roman"/>
        </w:rPr>
        <w:t>:</w:t>
      </w:r>
    </w:p>
    <w:p w14:paraId="1D36BECE"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t xml:space="preserve"> The equilibrium returns incorporate the collective wisdom of all market participants, encapsulating a vast amount of information about assets’ prospects. </w:t>
      </w:r>
    </w:p>
    <w:p w14:paraId="5842A220" w14:textId="77777777" w:rsidR="00D16FAC" w:rsidRPr="00862C65" w:rsidRDefault="00D16FAC" w:rsidP="00D16FAC">
      <w:pPr>
        <w:rPr>
          <w:rFonts w:ascii="Times New Roman" w:hAnsi="Times New Roman" w:cs="Times New Roman"/>
        </w:rPr>
      </w:pPr>
    </w:p>
    <w:p w14:paraId="0F5295CC"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 xml:space="preserve"> </w:t>
      </w:r>
    </w:p>
    <w:p w14:paraId="6E49635C" w14:textId="77777777" w:rsidR="00D16FAC" w:rsidRPr="00862C65" w:rsidRDefault="00D16FAC" w:rsidP="00D16FAC">
      <w:pPr>
        <w:pStyle w:val="ListParagraph"/>
        <w:numPr>
          <w:ilvl w:val="0"/>
          <w:numId w:val="16"/>
        </w:numPr>
        <w:rPr>
          <w:rFonts w:ascii="Times New Roman" w:hAnsi="Times New Roman" w:cs="Times New Roman"/>
        </w:rPr>
      </w:pPr>
      <w:r w:rsidRPr="00862C65">
        <w:rPr>
          <w:rFonts w:ascii="Times New Roman" w:hAnsi="Times New Roman" w:cs="Times New Roman"/>
        </w:rPr>
        <w:t>Models rely on the assumption of an initial equilibrium that may or may not exist in the real world, or which might not be easy to determine.</w:t>
      </w:r>
    </w:p>
    <w:p w14:paraId="1075BFBA"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Requires sophisticated estimation of market parameters and investor views.</w:t>
      </w:r>
    </w:p>
    <w:p w14:paraId="10490D6D"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Computationally complex compared to traditional techniques.</w:t>
      </w:r>
    </w:p>
    <w:p w14:paraId="5D94D3AE" w14:textId="77777777" w:rsidR="00D16FAC" w:rsidRPr="00862C65" w:rsidRDefault="00D16FAC" w:rsidP="00D16FAC">
      <w:pPr>
        <w:rPr>
          <w:rFonts w:ascii="Times New Roman" w:hAnsi="Times New Roman" w:cs="Times New Roman"/>
        </w:rPr>
      </w:pPr>
    </w:p>
    <w:p w14:paraId="3189A62F" w14:textId="77777777" w:rsidR="00D16FAC" w:rsidRPr="00862C65" w:rsidRDefault="00D16FAC" w:rsidP="00D16FAC">
      <w:pPr>
        <w:rPr>
          <w:rFonts w:ascii="Times New Roman" w:hAnsi="Times New Roman" w:cs="Times New Roman"/>
        </w:rPr>
      </w:pPr>
    </w:p>
    <w:p w14:paraId="08B9291A"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Risk Parity</w:t>
      </w:r>
    </w:p>
    <w:p w14:paraId="426A7D9F" w14:textId="77777777" w:rsidR="00D16FAC" w:rsidRPr="00862C65" w:rsidRDefault="00D16FAC" w:rsidP="00D16FAC">
      <w:pPr>
        <w:rPr>
          <w:rFonts w:ascii="Times New Roman" w:hAnsi="Times New Roman" w:cs="Times New Roman"/>
        </w:rPr>
      </w:pPr>
      <w:hyperlink r:id="rId10" w:history="1">
        <w:r w:rsidRPr="00862C65">
          <w:rPr>
            <w:rStyle w:val="Hyperlink"/>
            <w:rFonts w:ascii="Times New Roman" w:hAnsi="Times New Roman" w:cs="Times New Roman"/>
          </w:rPr>
          <w:t>Risk Parity</w:t>
        </w:r>
      </w:hyperlink>
      <w:r w:rsidRPr="00862C65">
        <w:rPr>
          <w:rFonts w:ascii="Times New Roman" w:hAnsi="Times New Roman" w:cs="Times New Roman"/>
        </w:rPr>
        <w:t> is a portfolio optimization technique that aims to equalize the contribution of each asset to the overall portfolio risk. This method, unlike traditional approaches, does not rely on historical returns. Instead, it focuses on the volatility of assets and their correlations. By allocating capital in such a way that each asset contributes equally to the portfolio’s risk, investors can achieve a more balanced and diversified portfolio, potentially improving risk-adjusted returns.</w:t>
      </w:r>
    </w:p>
    <w:p w14:paraId="0A6218E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062FF9B"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Tends to overweight low-risk assets, which may reduce returns in strong markets.</w:t>
      </w:r>
    </w:p>
    <w:p w14:paraId="20F4D067"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 xml:space="preserve"> Requires accurate and consistent volatility estimates, which may not always hold in volatile markets.</w:t>
      </w:r>
    </w:p>
    <w:p w14:paraId="6AEBB2E4"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Does not explicitly optimize for expected returns, focusing solely on risk.</w:t>
      </w:r>
    </w:p>
    <w:p w14:paraId="6F3ACCDC" w14:textId="77777777" w:rsidR="00D16FAC" w:rsidRPr="00862C65" w:rsidRDefault="00D16FAC" w:rsidP="00D16FAC">
      <w:pPr>
        <w:rPr>
          <w:rFonts w:ascii="Times New Roman" w:hAnsi="Times New Roman" w:cs="Times New Roman"/>
        </w:rPr>
      </w:pPr>
    </w:p>
    <w:p w14:paraId="3DD213D3"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Minimum Variance Portfolio</w:t>
      </w:r>
    </w:p>
    <w:p w14:paraId="3F4F61E4"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Minimum Variance Portfolio (MVP) is an optimization technique that focuses on minimizing the portfolio’s overall volatility. This approach constructs a portfolio that achieves the lowest possible risk, regardless of expected returns. There are also variations of the MVP approach, such as meeting certain return thresholds, like the rate of inflation. MVP is particularly useful for risk-averse investors who prioritize capital preservation over maximizing returns. By combining assets with low correlations and minimizing the overall volatility, the MVP approach can deliver more stable and consistent performance over time.</w:t>
      </w:r>
    </w:p>
    <w:p w14:paraId="636B324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lastRenderedPageBreak/>
        <w:t>Limitations:</w:t>
      </w:r>
    </w:p>
    <w:p w14:paraId="2275C94F"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Focuses solely on risk minimization, ignoring potential returns.</w:t>
      </w:r>
    </w:p>
    <w:p w14:paraId="1BB88F8D"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Results in portfolios that may underperform during bull markets.</w:t>
      </w:r>
    </w:p>
    <w:p w14:paraId="1267E260" w14:textId="77777777" w:rsidR="00D16FAC" w:rsidRPr="00862C65" w:rsidRDefault="00D16FAC" w:rsidP="00D16FAC">
      <w:pPr>
        <w:pStyle w:val="ListParagraph"/>
        <w:numPr>
          <w:ilvl w:val="0"/>
          <w:numId w:val="18"/>
        </w:numPr>
        <w:rPr>
          <w:rFonts w:ascii="Times New Roman" w:hAnsi="Times New Roman" w:cs="Times New Roman"/>
          <w:b/>
          <w:bCs/>
        </w:rPr>
      </w:pPr>
      <w:r w:rsidRPr="00862C65">
        <w:rPr>
          <w:rFonts w:ascii="Times New Roman" w:eastAsia="Times New Roman" w:hAnsi="Times New Roman" w:cs="Times New Roman"/>
          <w:kern w:val="0"/>
          <w:lang w:eastAsia="en-IN"/>
          <w14:ligatures w14:val="none"/>
        </w:rPr>
        <w:t xml:space="preserve"> Relies heavily on accurate estimation of covariances, which can be unstable.</w:t>
      </w:r>
    </w:p>
    <w:p w14:paraId="366441A9" w14:textId="77777777" w:rsidR="00D16FAC" w:rsidRPr="00862C65" w:rsidRDefault="00D16FAC" w:rsidP="00D16FAC">
      <w:pPr>
        <w:rPr>
          <w:rFonts w:ascii="Times New Roman" w:hAnsi="Times New Roman" w:cs="Times New Roman"/>
          <w:b/>
          <w:bCs/>
          <w:sz w:val="32"/>
          <w:szCs w:val="32"/>
        </w:rPr>
      </w:pPr>
    </w:p>
    <w:p w14:paraId="3F37C07E" w14:textId="77777777" w:rsidR="00D16FAC" w:rsidRPr="00862C65" w:rsidRDefault="00D16FAC" w:rsidP="00D16FAC">
      <w:pPr>
        <w:rPr>
          <w:rFonts w:ascii="Times New Roman" w:hAnsi="Times New Roman" w:cs="Times New Roman"/>
          <w:b/>
          <w:bCs/>
          <w:sz w:val="32"/>
          <w:szCs w:val="32"/>
        </w:rPr>
      </w:pPr>
      <w:r w:rsidRPr="00862C65">
        <w:rPr>
          <w:rFonts w:ascii="Times New Roman" w:hAnsi="Times New Roman" w:cs="Times New Roman"/>
          <w:sz w:val="32"/>
          <w:szCs w:val="32"/>
        </w:rPr>
        <w:t>Various ML techniques:</w:t>
      </w:r>
    </w:p>
    <w:p w14:paraId="58E08248" w14:textId="77777777" w:rsidR="00D16FAC" w:rsidRPr="00862C65" w:rsidRDefault="00D16FAC" w:rsidP="00D16FAC">
      <w:pPr>
        <w:ind w:firstLine="720"/>
        <w:rPr>
          <w:rFonts w:ascii="Times New Roman" w:hAnsi="Times New Roman" w:cs="Times New Roman"/>
          <w:b/>
          <w:bCs/>
        </w:rPr>
      </w:pPr>
      <w:r w:rsidRPr="00862C65">
        <w:rPr>
          <w:rFonts w:ascii="Times New Roman" w:hAnsi="Times New Roman" w:cs="Times New Roman"/>
          <w:b/>
          <w:bCs/>
        </w:rPr>
        <w:t>1 Hierarchical Risk Parity</w:t>
      </w:r>
    </w:p>
    <w:p w14:paraId="37F2DC3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Hierarchical Risk Parity (HRP) is a portfolio optimization method focused on allocating assets based on their risk contributions to provide a more balanced and diversified portfolio. HRP uses hierarchical clustering and risk parity principles to construct portfolios. This allows for better risk management and adaptability to changing market conditions. HRP employs a tree-like structure, known as a dendrogram, to group assets based on their similarities in terms of price movements or correlation. This process helps to identify clusters of assets that behave similarly, allowing for better risk management and diversification.</w:t>
      </w:r>
    </w:p>
    <w:p w14:paraId="7AF65469" w14:textId="77777777" w:rsidR="00D16FAC" w:rsidRPr="00862C65" w:rsidRDefault="00D16FAC" w:rsidP="00D16FAC">
      <w:pPr>
        <w:rPr>
          <w:rFonts w:ascii="Times New Roman" w:hAnsi="Times New Roman" w:cs="Times New Roman"/>
        </w:rPr>
      </w:pPr>
    </w:p>
    <w:p w14:paraId="57112FB6"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496044C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Changing Correlations:</w:t>
      </w:r>
      <w:r w:rsidRPr="00862C65">
        <w:rPr>
          <w:rFonts w:ascii="Times New Roman" w:hAnsi="Times New Roman" w:cs="Times New Roman"/>
        </w:rPr>
        <w:t xml:space="preserve"> Relies heavily on historical correlations, which are not static and may shift significantly during market stress, potentially leading to inaccurate risk predictions.</w:t>
      </w:r>
    </w:p>
    <w:p w14:paraId="0D3BD3E6"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Overfitting:</w:t>
      </w:r>
      <w:r w:rsidRPr="00862C65">
        <w:rPr>
          <w:rFonts w:ascii="Times New Roman" w:hAnsi="Times New Roman" w:cs="Times New Roman"/>
        </w:rPr>
        <w:t xml:space="preserve"> Algorithms may overfit to historical data, especially when market conditions differ from past patterns.</w:t>
      </w:r>
    </w:p>
    <w:p w14:paraId="4B3CE237"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Sector-Specific Risks:</w:t>
      </w:r>
      <w:r w:rsidRPr="00862C65">
        <w:rPr>
          <w:rFonts w:ascii="Times New Roman" w:hAnsi="Times New Roman" w:cs="Times New Roman"/>
        </w:rPr>
        <w:t xml:space="preserve"> Clustering can result in an overemphasis on certain sectors, leading to under-diversification and vulnerability to sector-specific risks.</w:t>
      </w:r>
    </w:p>
    <w:p w14:paraId="79BF32A4"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Backward-Looking Nature:</w:t>
      </w:r>
      <w:r w:rsidRPr="00862C65">
        <w:rPr>
          <w:rFonts w:ascii="Times New Roman" w:hAnsi="Times New Roman" w:cs="Times New Roman"/>
        </w:rPr>
        <w:t xml:space="preserve"> During significant market shifts, HRP’s reliance on historical data may fail to provide adequate protection or diversification.</w:t>
      </w:r>
    </w:p>
    <w:p w14:paraId="3706B58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significant computational resources and expertise to implement effectively.</w:t>
      </w:r>
    </w:p>
    <w:p w14:paraId="176F41A2" w14:textId="77777777" w:rsidR="00D16FAC" w:rsidRPr="00862C65" w:rsidRDefault="00D16FAC" w:rsidP="00D16FAC">
      <w:pPr>
        <w:ind w:left="360"/>
        <w:rPr>
          <w:rFonts w:ascii="Times New Roman" w:hAnsi="Times New Roman" w:cs="Times New Roman"/>
        </w:rPr>
      </w:pPr>
    </w:p>
    <w:p w14:paraId="223596CE" w14:textId="77777777" w:rsidR="00D16FAC" w:rsidRPr="00862C65" w:rsidRDefault="00D16FAC" w:rsidP="00D16FAC">
      <w:pPr>
        <w:ind w:firstLine="360"/>
        <w:rPr>
          <w:rFonts w:ascii="Times New Roman" w:hAnsi="Times New Roman" w:cs="Times New Roman"/>
          <w:b/>
          <w:bCs/>
        </w:rPr>
      </w:pPr>
      <w:r w:rsidRPr="00862C65">
        <w:rPr>
          <w:rFonts w:ascii="Times New Roman" w:hAnsi="Times New Roman" w:cs="Times New Roman"/>
          <w:b/>
          <w:bCs/>
        </w:rPr>
        <w:t>2. Principal component-based methods</w:t>
      </w:r>
    </w:p>
    <w:p w14:paraId="7CE7241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 xml:space="preserve">Principal component analysis (PCA) is a dimensionality reduction technique that can be used to identify the main sources of variation in a dataset, such as asset returns. By transforming the original variables into a smaller set of uncorrelated principal components, PCA can help simplify portfolio optimization problems and improve estimation accuracy. Principal component-based methods can be particularly useful for large, high-dimensional datasets, where traditional </w:t>
      </w:r>
      <w:r w:rsidRPr="00862C65">
        <w:rPr>
          <w:rFonts w:ascii="Times New Roman" w:hAnsi="Times New Roman" w:cs="Times New Roman"/>
        </w:rPr>
        <w:lastRenderedPageBreak/>
        <w:t>optimization techniques may struggle with estimation errors and overfitting. By incorporating PCA into the portfolio optimization process, traders/investors can better understand the underlying drivers of asset returns and construct more efficient portfolios.</w:t>
      </w:r>
    </w:p>
    <w:p w14:paraId="4A607C9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2989EF8"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Interpretability:</w:t>
      </w:r>
      <w:r w:rsidRPr="00862C65">
        <w:rPr>
          <w:rFonts w:ascii="Times New Roman" w:hAnsi="Times New Roman" w:cs="Times New Roman"/>
        </w:rPr>
        <w:t xml:space="preserve"> Principal components are combinations of original variables, making them difficult to interpret directly.</w:t>
      </w:r>
    </w:p>
    <w:p w14:paraId="6417826F"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historical data, which may not capture future market dynamics.</w:t>
      </w:r>
    </w:p>
    <w:p w14:paraId="74F3BD5A"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Neglect of Nonlinear Relationships:</w:t>
      </w:r>
      <w:r w:rsidRPr="00862C65">
        <w:rPr>
          <w:rFonts w:ascii="Times New Roman" w:hAnsi="Times New Roman" w:cs="Times New Roman"/>
        </w:rPr>
        <w:t xml:space="preserve"> PCA assumes linear relationships among variables and may fail to capture nonlinear dependencies in asset returns.</w:t>
      </w:r>
    </w:p>
    <w:p w14:paraId="45B42E84"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Computational Intensity:</w:t>
      </w:r>
      <w:r w:rsidRPr="00862C65">
        <w:rPr>
          <w:rFonts w:ascii="Times New Roman" w:hAnsi="Times New Roman" w:cs="Times New Roman"/>
        </w:rPr>
        <w:t xml:space="preserve"> High-dimensional PCA can be computationally expensive, especially for very large datasets.</w:t>
      </w:r>
    </w:p>
    <w:p w14:paraId="2C694B81" w14:textId="77777777" w:rsidR="00D16FAC" w:rsidRPr="00862C65" w:rsidRDefault="00D16FAC" w:rsidP="00D16FAC">
      <w:pPr>
        <w:rPr>
          <w:rFonts w:ascii="Times New Roman" w:hAnsi="Times New Roman" w:cs="Times New Roman"/>
        </w:rPr>
      </w:pPr>
    </w:p>
    <w:p w14:paraId="5E826DA0" w14:textId="77777777" w:rsidR="00D16FAC" w:rsidRPr="00862C65" w:rsidRDefault="00D16FAC" w:rsidP="00D16FAC">
      <w:pPr>
        <w:ind w:firstLine="720"/>
        <w:rPr>
          <w:rFonts w:ascii="Times New Roman" w:hAnsi="Times New Roman" w:cs="Times New Roman"/>
        </w:rPr>
      </w:pPr>
      <w:r w:rsidRPr="00862C65">
        <w:rPr>
          <w:rFonts w:ascii="Times New Roman" w:hAnsi="Times New Roman" w:cs="Times New Roman"/>
        </w:rPr>
        <w:t xml:space="preserve">3. </w:t>
      </w:r>
      <w:r w:rsidRPr="00862C65">
        <w:rPr>
          <w:rFonts w:ascii="Times New Roman" w:hAnsi="Times New Roman" w:cs="Times New Roman"/>
          <w:b/>
          <w:bCs/>
        </w:rPr>
        <w:t>Bayesian Networks</w:t>
      </w:r>
    </w:p>
    <w:p w14:paraId="4CB4843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Bayesian Networks are a probabilistic modeling technique used to analyze and optimize portfolios. They represent the relationships between variables, such as asset returns, economic indicators, and market factors, in a graphical structure. By quantifying these relationships through conditional probabilities, Bayesian Networks provide insights into the potential impact of various factors on portfolio performance.</w:t>
      </w:r>
    </w:p>
    <w:p w14:paraId="44402950"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Bayesian Networks:</w:t>
      </w:r>
    </w:p>
    <w:p w14:paraId="6C7DAFE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Probabilistic Relationships:</w:t>
      </w:r>
      <w:r w:rsidRPr="00862C65">
        <w:rPr>
          <w:rFonts w:ascii="Times New Roman" w:hAnsi="Times New Roman" w:cs="Times New Roman"/>
        </w:rPr>
        <w:t xml:space="preserve"> Represent dependencies between variables using conditional probabilities.</w:t>
      </w:r>
    </w:p>
    <w:p w14:paraId="2CD2734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Graphical Representation:</w:t>
      </w:r>
      <w:r w:rsidRPr="00862C65">
        <w:rPr>
          <w:rFonts w:ascii="Times New Roman" w:hAnsi="Times New Roman" w:cs="Times New Roman"/>
        </w:rPr>
        <w:t xml:space="preserve"> Visualize relationships in a directed acyclic graph (DAG), showing causality and dependencies.</w:t>
      </w:r>
    </w:p>
    <w:p w14:paraId="209D71E4"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Dynamic Updates:</w:t>
      </w:r>
      <w:r w:rsidRPr="00862C65">
        <w:rPr>
          <w:rFonts w:ascii="Times New Roman" w:hAnsi="Times New Roman" w:cs="Times New Roman"/>
        </w:rPr>
        <w:t xml:space="preserve"> Incorporate new information to update probabilities and optimize portfolio allocations.</w:t>
      </w:r>
    </w:p>
    <w:p w14:paraId="5326FE69" w14:textId="77777777" w:rsidR="00D16FAC" w:rsidRPr="00862C65" w:rsidRDefault="00D16FAC" w:rsidP="00D16FAC">
      <w:pPr>
        <w:rPr>
          <w:rFonts w:ascii="Times New Roman" w:hAnsi="Times New Roman" w:cs="Times New Roman"/>
        </w:rPr>
      </w:pPr>
    </w:p>
    <w:p w14:paraId="19FAE00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w:t>
      </w:r>
    </w:p>
    <w:p w14:paraId="48715D3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advanced knowledge of probabilistic modeling and Bayesian inference.</w:t>
      </w:r>
    </w:p>
    <w:p w14:paraId="4012A7D4"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the availability of high-quality, relevant data to estimate conditional probabilities accurately.</w:t>
      </w:r>
    </w:p>
    <w:p w14:paraId="26BD5279"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lastRenderedPageBreak/>
        <w:t>Computational Intensity:</w:t>
      </w:r>
      <w:r w:rsidRPr="00862C65">
        <w:rPr>
          <w:rFonts w:ascii="Times New Roman" w:hAnsi="Times New Roman" w:cs="Times New Roman"/>
        </w:rPr>
        <w:t xml:space="preserve"> Inference and updating probabilities in large networks can be computationally expensive.</w:t>
      </w:r>
    </w:p>
    <w:p w14:paraId="4811B95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Model Assumptions:</w:t>
      </w:r>
      <w:r w:rsidRPr="00862C65">
        <w:rPr>
          <w:rFonts w:ascii="Times New Roman" w:hAnsi="Times New Roman" w:cs="Times New Roman"/>
        </w:rPr>
        <w:t xml:space="preserve"> Simplistic or incorrect assumptions in the network structure may lead to misleading results.</w:t>
      </w:r>
    </w:p>
    <w:p w14:paraId="646C7011"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A44713D" w14:textId="78D6D3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tbl>
      <w:tblPr>
        <w:tblW w:w="8828" w:type="dxa"/>
        <w:tblCellSpacing w:w="15" w:type="dxa"/>
        <w:tblCellMar>
          <w:top w:w="15" w:type="dxa"/>
          <w:left w:w="15" w:type="dxa"/>
          <w:bottom w:w="15" w:type="dxa"/>
          <w:right w:w="15" w:type="dxa"/>
        </w:tblCellMar>
        <w:tblLook w:val="04A0" w:firstRow="1" w:lastRow="0" w:firstColumn="1" w:lastColumn="0" w:noHBand="0" w:noVBand="1"/>
      </w:tblPr>
      <w:tblGrid>
        <w:gridCol w:w="2424"/>
        <w:gridCol w:w="6404"/>
      </w:tblGrid>
      <w:tr w:rsidR="00D16FAC" w:rsidRPr="00862C65" w14:paraId="37357940" w14:textId="77777777" w:rsidTr="00CF458C">
        <w:trPr>
          <w:trHeight w:val="376"/>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F79BFB"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Technique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27BAC8"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Limitations</w:t>
            </w:r>
          </w:p>
        </w:tc>
      </w:tr>
      <w:tr w:rsidR="00D16FAC" w:rsidRPr="00862C65" w14:paraId="091FF370" w14:textId="77777777" w:rsidTr="00CF458C">
        <w:trPr>
          <w:trHeight w:val="22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7969F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Modern Portfolio Theory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61E3CB4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Bases the assumption on historical data alone and doesn’t include market fluctuations.</w:t>
            </w:r>
          </w:p>
          <w:p w14:paraId="7AFB323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Doesn’t consider extra costs, such as broker commissions or taxes.</w:t>
            </w:r>
          </w:p>
          <w:p w14:paraId="11C37C99"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Assumes investors are risk-averse, rational, and have realistic investment returns.</w:t>
            </w:r>
          </w:p>
          <w:p w14:paraId="138FA7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w:t>
            </w:r>
          </w:p>
        </w:tc>
      </w:tr>
      <w:tr w:rsidR="00D16FAC" w:rsidRPr="00862C65" w14:paraId="106C1398"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CAB88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Markowitz Mean-Variance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115C64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Considers only the mean and variance of returns, ignoring skewness.</w:t>
            </w:r>
          </w:p>
          <w:p w14:paraId="1B650E6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Prevents investors from expressing views on future asset performance.</w:t>
            </w:r>
          </w:p>
          <w:p w14:paraId="0EE55EA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 leading to unstable portfolios.</w:t>
            </w:r>
          </w:p>
        </w:tc>
      </w:tr>
      <w:tr w:rsidR="00D16FAC" w:rsidRPr="00862C65" w14:paraId="326324AD" w14:textId="77777777" w:rsidTr="00CF458C">
        <w:trPr>
          <w:trHeight w:val="163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85E2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Black-Litterman</w:t>
            </w:r>
          </w:p>
        </w:tc>
        <w:tc>
          <w:tcPr>
            <w:tcW w:w="0" w:type="auto"/>
            <w:tcBorders>
              <w:top w:val="single" w:sz="4" w:space="0" w:color="auto"/>
              <w:left w:val="single" w:sz="4" w:space="0" w:color="auto"/>
              <w:bottom w:val="single" w:sz="4" w:space="0" w:color="auto"/>
              <w:right w:val="single" w:sz="4" w:space="0" w:color="auto"/>
            </w:tcBorders>
            <w:vAlign w:val="center"/>
            <w:hideMark/>
          </w:tcPr>
          <w:p w14:paraId="1681A16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an initial equilibrium assumption that may not exist or is hard to determine.</w:t>
            </w:r>
          </w:p>
          <w:p w14:paraId="061A3AC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sophisticated estimation of market parameters and investor views.</w:t>
            </w:r>
          </w:p>
          <w:p w14:paraId="374D7A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complex compared to traditional techniques.</w:t>
            </w:r>
          </w:p>
        </w:tc>
      </w:tr>
      <w:tr w:rsidR="00D16FAC" w:rsidRPr="00862C65" w14:paraId="71732E3E"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082D63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565FEB5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Tends to overweight low-risk assets, reducing returns in strong markets.</w:t>
            </w:r>
          </w:p>
          <w:p w14:paraId="38D55F9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accurate volatility estimates, which may not hold in volatile markets.</w:t>
            </w:r>
          </w:p>
          <w:p w14:paraId="6CC234D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 not explicitly optimize for expected returns, focusing solely on risk.</w:t>
            </w:r>
          </w:p>
        </w:tc>
      </w:tr>
      <w:tr w:rsidR="00D16FAC" w:rsidRPr="00862C65" w14:paraId="7BD4D7A8" w14:textId="77777777" w:rsidTr="00CF458C">
        <w:trPr>
          <w:trHeight w:val="138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C1FBA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Minimum Variance Portfolio</w:t>
            </w:r>
          </w:p>
        </w:tc>
        <w:tc>
          <w:tcPr>
            <w:tcW w:w="0" w:type="auto"/>
            <w:tcBorders>
              <w:top w:val="single" w:sz="4" w:space="0" w:color="auto"/>
              <w:left w:val="single" w:sz="4" w:space="0" w:color="auto"/>
              <w:bottom w:val="single" w:sz="4" w:space="0" w:color="auto"/>
              <w:right w:val="single" w:sz="4" w:space="0" w:color="auto"/>
            </w:tcBorders>
            <w:vAlign w:val="center"/>
            <w:hideMark/>
          </w:tcPr>
          <w:p w14:paraId="2EDF3A1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Focuses solely on risk minimization, ignoring potential returns.</w:t>
            </w:r>
          </w:p>
          <w:p w14:paraId="44C53038"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May underperform during bull markets.</w:t>
            </w:r>
          </w:p>
          <w:p w14:paraId="5BD7AB5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accurate covariance estimation, which can be unstable.</w:t>
            </w:r>
          </w:p>
        </w:tc>
      </w:tr>
      <w:tr w:rsidR="00D16FAC" w:rsidRPr="00862C65" w14:paraId="159A1E93" w14:textId="77777777" w:rsidTr="00CF458C">
        <w:trPr>
          <w:trHeight w:val="74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624AE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lastRenderedPageBreak/>
              <w:t>Hierarchical 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68E172E3"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historical correlations, which are not static.</w:t>
            </w:r>
          </w:p>
          <w:p w14:paraId="2C0153E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Algorithms may overfit to historical data.</w:t>
            </w:r>
          </w:p>
          <w:p w14:paraId="49FD35F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Clustering can lead to sector-specific risks and under-diversification.</w:t>
            </w:r>
          </w:p>
          <w:p w14:paraId="120C052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Backward-looking nature may fail during significant market shifts.</w:t>
            </w:r>
          </w:p>
          <w:p w14:paraId="722F24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tc>
      </w:tr>
      <w:tr w:rsidR="00D16FAC" w:rsidRPr="00862C65" w14:paraId="1DFF6699" w14:textId="77777777" w:rsidTr="00CF458C">
        <w:trPr>
          <w:trHeight w:val="1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93AFD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Principal Component Analysis</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E8F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Principal components are hard to interpret.</w:t>
            </w:r>
          </w:p>
          <w:p w14:paraId="4F65B4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historical data, which may not capture future dynamics.</w:t>
            </w:r>
          </w:p>
          <w:p w14:paraId="0BD0D0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Fails to capture nonlinear relationships.</w:t>
            </w:r>
          </w:p>
          <w:p w14:paraId="64DD6F30"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expensive for high-dimensional datasets.</w:t>
            </w:r>
          </w:p>
        </w:tc>
      </w:tr>
      <w:tr w:rsidR="00D16FAC" w:rsidRPr="00862C65" w14:paraId="2B9E4339" w14:textId="77777777" w:rsidTr="00CF458C">
        <w:trPr>
          <w:trHeight w:val="113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0FAD1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Bayesian Networks</w:t>
            </w:r>
          </w:p>
        </w:tc>
        <w:tc>
          <w:tcPr>
            <w:tcW w:w="0" w:type="auto"/>
            <w:tcBorders>
              <w:top w:val="single" w:sz="4" w:space="0" w:color="auto"/>
              <w:left w:val="single" w:sz="4" w:space="0" w:color="auto"/>
              <w:bottom w:val="single" w:sz="4" w:space="0" w:color="auto"/>
              <w:right w:val="single" w:sz="4" w:space="0" w:color="auto"/>
            </w:tcBorders>
            <w:vAlign w:val="center"/>
            <w:hideMark/>
          </w:tcPr>
          <w:p w14:paraId="7670E77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p w14:paraId="646D517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Complex to model and implement.</w:t>
            </w:r>
          </w:p>
          <w:p w14:paraId="50DC39B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high-quality data for accurate results.</w:t>
            </w:r>
          </w:p>
        </w:tc>
      </w:tr>
    </w:tbl>
    <w:p w14:paraId="61314A2D"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19EEED9" w14:textId="1F2ECB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3.3. Explains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11"/>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12"/>
                    <a:stretch>
                      <a:fillRect/>
                    </a:stretch>
                  </pic:blipFill>
                  <pic:spPr>
                    <a:xfrm>
                      <a:off x="0" y="0"/>
                      <a:ext cx="5943600" cy="4622800"/>
                    </a:xfrm>
                    <a:prstGeom prst="rect">
                      <a:avLst/>
                    </a:prstGeom>
                  </pic:spPr>
                </pic:pic>
              </a:graphicData>
            </a:graphic>
          </wp:inline>
        </w:drawing>
      </w:r>
    </w:p>
    <w:p w14:paraId="29CC63FE" w14:textId="77777777" w:rsidR="006B599C"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71531686" w14:textId="2A1D8566" w:rsidR="00484841" w:rsidRDefault="006B599C"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6B599C">
        <w:rPr>
          <w:rFonts w:ascii="Times New Roman" w:eastAsia="Times New Roman" w:hAnsi="Times New Roman" w:cs="Times New Roman"/>
          <w:bCs/>
          <w:color w:val="000000"/>
          <w:kern w:val="0"/>
          <w:sz w:val="32"/>
          <w:szCs w:val="32"/>
          <w:lang w:val="en-US"/>
          <w14:ligatures w14:val="none"/>
        </w:rPr>
        <w:lastRenderedPageBreak/>
        <w:drawing>
          <wp:inline distT="0" distB="0" distL="0" distR="0" wp14:anchorId="499364D5" wp14:editId="38118A90">
            <wp:extent cx="5943600" cy="3378200"/>
            <wp:effectExtent l="0" t="0" r="0" b="0"/>
            <wp:docPr id="2038968399" name="Picture 1" descr="A graph showing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68399" name="Picture 1" descr="A graph showing a graph&#10;&#10;Description automatically generated with medium confidence"/>
                    <pic:cNvPicPr/>
                  </pic:nvPicPr>
                  <pic:blipFill>
                    <a:blip r:embed="rId13"/>
                    <a:stretch>
                      <a:fillRect/>
                    </a:stretch>
                  </pic:blipFill>
                  <pic:spPr>
                    <a:xfrm>
                      <a:off x="0" y="0"/>
                      <a:ext cx="5943600" cy="3378200"/>
                    </a:xfrm>
                    <a:prstGeom prst="rect">
                      <a:avLst/>
                    </a:prstGeom>
                  </pic:spPr>
                </pic:pic>
              </a:graphicData>
            </a:graphic>
          </wp:inline>
        </w:drawing>
      </w:r>
      <w:r w:rsidR="00484841">
        <w:rPr>
          <w:rFonts w:ascii="Times New Roman" w:eastAsia="Times New Roman" w:hAnsi="Times New Roman" w:cs="Times New Roman"/>
          <w:bCs/>
          <w:color w:val="000000"/>
          <w:kern w:val="0"/>
          <w:sz w:val="32"/>
          <w:szCs w:val="32"/>
          <w:lang w:val="en-US"/>
          <w14:ligatures w14:val="none"/>
        </w:rPr>
        <w:br/>
      </w:r>
      <w:r w:rsidRPr="006B599C">
        <w:rPr>
          <w:rFonts w:ascii="Times New Roman" w:eastAsia="Times New Roman" w:hAnsi="Times New Roman" w:cs="Times New Roman"/>
          <w:bCs/>
          <w:color w:val="000000"/>
          <w:kern w:val="0"/>
          <w:sz w:val="32"/>
          <w:szCs w:val="32"/>
          <w:lang w:val="en-US"/>
          <w14:ligatures w14:val="none"/>
        </w:rPr>
        <w:drawing>
          <wp:inline distT="0" distB="0" distL="0" distR="0" wp14:anchorId="7318D4CA" wp14:editId="436034E6">
            <wp:extent cx="5943600" cy="3375660"/>
            <wp:effectExtent l="0" t="0" r="0" b="0"/>
            <wp:docPr id="711184933"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84933" name="Picture 1" descr="A graph of different colored lines&#10;&#10;Description automatically generated"/>
                    <pic:cNvPicPr/>
                  </pic:nvPicPr>
                  <pic:blipFill>
                    <a:blip r:embed="rId14"/>
                    <a:stretch>
                      <a:fillRect/>
                    </a:stretch>
                  </pic:blipFill>
                  <pic:spPr>
                    <a:xfrm>
                      <a:off x="0" y="0"/>
                      <a:ext cx="5943600" cy="3375660"/>
                    </a:xfrm>
                    <a:prstGeom prst="rect">
                      <a:avLst/>
                    </a:prstGeom>
                  </pic:spPr>
                </pic:pic>
              </a:graphicData>
            </a:graphic>
          </wp:inline>
        </w:drawing>
      </w:r>
    </w:p>
    <w:p w14:paraId="37E39086" w14:textId="77777777" w:rsidR="006B599C" w:rsidRPr="00103316" w:rsidRDefault="006B599C"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11650E94" w:rsidR="00101A91" w:rsidRDefault="00101A91" w:rsidP="00101A91">
      <w:pPr>
        <w:spacing w:after="200" w:line="276" w:lineRule="auto"/>
        <w:rPr>
          <w:rFonts w:ascii="Times New Roman" w:eastAsia="Times New Roman" w:hAnsi="Times New Roman" w:cs="Times New Roman"/>
          <w:b/>
          <w:bCs/>
          <w:color w:val="000000"/>
          <w:kern w:val="0"/>
          <w:sz w:val="32"/>
          <w:szCs w:val="3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lastRenderedPageBreak/>
        <w:t>7 Design wireframes: @ Jeffin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5"/>
                    <a:stretch>
                      <a:fillRect/>
                    </a:stretch>
                  </pic:blipFill>
                  <pic:spPr>
                    <a:xfrm>
                      <a:off x="0" y="0"/>
                      <a:ext cx="5943600" cy="2768600"/>
                    </a:xfrm>
                    <a:prstGeom prst="rect">
                      <a:avLst/>
                    </a:prstGeom>
                  </pic:spPr>
                </pic:pic>
              </a:graphicData>
            </a:graphic>
          </wp:inline>
        </w:drawing>
      </w:r>
    </w:p>
    <w:p w14:paraId="1588CA72" w14:textId="05ADC356" w:rsidR="00101A91"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Exploration </w:t>
      </w:r>
      <w:r>
        <w:rPr>
          <w:rFonts w:ascii="Times New Roman" w:eastAsia="Times New Roman" w:hAnsi="Times New Roman" w:cs="Times New Roman"/>
          <w:b/>
          <w:color w:val="000000"/>
          <w:kern w:val="0"/>
          <w:sz w:val="32"/>
          <w:szCs w:val="32"/>
          <w:lang w:val="en-US"/>
          <w14:ligatures w14:val="none"/>
        </w:rPr>
        <w:t>@jobina joy</w:t>
      </w:r>
    </w:p>
    <w:p w14:paraId="526658F6" w14:textId="77777777" w:rsidR="006B599C" w:rsidRPr="006B599C" w:rsidRDefault="006B599C" w:rsidP="006B599C">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3B6FC4B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49DA50CF"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575AF51B"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5779F9D4"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D721EDE"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1E171739"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76E2A0D3"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6F40A48D"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DF5B6A0"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766BE64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246DF69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29995C0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7B6BCD88"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71B8D091"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priceHint</w:t>
      </w:r>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2635B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06E8CFF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regularMarketVolume</w:t>
      </w:r>
      <w:r w:rsidRPr="006B599C">
        <w:rPr>
          <w:rFonts w:ascii="Times New Roman" w:eastAsia="Times New Roman" w:hAnsi="Times New Roman" w:cs="Times New Roman"/>
          <w:kern w:val="0"/>
          <w:lang w:eastAsia="en-CA"/>
          <w14:ligatures w14:val="none"/>
        </w:rPr>
        <w:t>: Volume traded during regular market hours.</w:t>
      </w:r>
    </w:p>
    <w:p w14:paraId="2C7EAF3D"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averageVolume</w:t>
      </w:r>
      <w:r w:rsidRPr="006B599C">
        <w:rPr>
          <w:rFonts w:ascii="Times New Roman" w:eastAsia="Times New Roman" w:hAnsi="Times New Roman" w:cs="Times New Roman"/>
          <w:kern w:val="0"/>
          <w:lang w:eastAsia="en-CA"/>
          <w14:ligatures w14:val="none"/>
        </w:rPr>
        <w:t>: The average daily trading volume over a certain period.</w:t>
      </w:r>
    </w:p>
    <w:p w14:paraId="13158AB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marketCap</w:t>
      </w:r>
      <w:r w:rsidRPr="006B599C">
        <w:rPr>
          <w:rFonts w:ascii="Times New Roman" w:eastAsia="Times New Roman" w:hAnsi="Times New Roman" w:cs="Times New Roman"/>
          <w:kern w:val="0"/>
          <w:lang w:eastAsia="en-CA"/>
          <w14:ligatures w14:val="none"/>
        </w:rPr>
        <w:t>: Market capitalization, calculated as stock price × number of shares.</w:t>
      </w:r>
    </w:p>
    <w:p w14:paraId="3C770989"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fiftyTwoWeekLow</w:t>
      </w:r>
      <w:r w:rsidRPr="006B599C">
        <w:rPr>
          <w:rFonts w:ascii="Times New Roman" w:eastAsia="Times New Roman" w:hAnsi="Times New Roman" w:cs="Times New Roman"/>
          <w:kern w:val="0"/>
          <w:lang w:eastAsia="en-CA"/>
          <w14:ligatures w14:val="none"/>
        </w:rPr>
        <w:t>: The lowest stock price in the past 52 weeks.</w:t>
      </w:r>
    </w:p>
    <w:p w14:paraId="3DB5A70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fiftyTwoWeekHigh</w:t>
      </w:r>
      <w:r w:rsidRPr="006B599C">
        <w:rPr>
          <w:rFonts w:ascii="Times New Roman" w:eastAsia="Times New Roman" w:hAnsi="Times New Roman" w:cs="Times New Roman"/>
          <w:kern w:val="0"/>
          <w:lang w:eastAsia="en-CA"/>
          <w14:ligatures w14:val="none"/>
        </w:rPr>
        <w:t>: The highest stock price in the past 52 weeks.</w:t>
      </w:r>
    </w:p>
    <w:p w14:paraId="7CD6BF9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558004B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2B413DF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fiftyDayAverage</w:t>
      </w:r>
      <w:r w:rsidRPr="006B599C">
        <w:rPr>
          <w:rFonts w:ascii="Times New Roman" w:eastAsia="Times New Roman" w:hAnsi="Times New Roman" w:cs="Times New Roman"/>
          <w:kern w:val="0"/>
          <w:lang w:eastAsia="en-CA"/>
          <w14:ligatures w14:val="none"/>
        </w:rPr>
        <w:t>: The average stock price over the past 50 days.</w:t>
      </w:r>
    </w:p>
    <w:p w14:paraId="00F2042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twoHundredDayAverage</w:t>
      </w:r>
      <w:r w:rsidRPr="006B599C">
        <w:rPr>
          <w:rFonts w:ascii="Times New Roman" w:eastAsia="Times New Roman" w:hAnsi="Times New Roman" w:cs="Times New Roman"/>
          <w:kern w:val="0"/>
          <w:lang w:eastAsia="en-CA"/>
          <w14:ligatures w14:val="none"/>
        </w:rPr>
        <w:t>: The average stock price over the past 200 days.</w:t>
      </w:r>
    </w:p>
    <w:p w14:paraId="5F95BEC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0EC3DE9D"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enterpriseValue</w:t>
      </w:r>
      <w:r w:rsidRPr="006B599C">
        <w:rPr>
          <w:rFonts w:ascii="Times New Roman" w:eastAsia="Times New Roman" w:hAnsi="Times New Roman" w:cs="Times New Roman"/>
          <w:kern w:val="0"/>
          <w:lang w:eastAsia="en-CA"/>
          <w14:ligatures w14:val="none"/>
        </w:rPr>
        <w:t>: The total valuation of a company, including debt and equity.</w:t>
      </w:r>
    </w:p>
    <w:p w14:paraId="0B3FEC9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floatShares</w:t>
      </w:r>
      <w:r w:rsidRPr="006B599C">
        <w:rPr>
          <w:rFonts w:ascii="Times New Roman" w:eastAsia="Times New Roman" w:hAnsi="Times New Roman" w:cs="Times New Roman"/>
          <w:kern w:val="0"/>
          <w:lang w:eastAsia="en-CA"/>
          <w14:ligatures w14:val="none"/>
        </w:rPr>
        <w:t>: The number of shares available for trading.</w:t>
      </w:r>
    </w:p>
    <w:p w14:paraId="2E639E7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sharesOutstanding</w:t>
      </w:r>
      <w:r w:rsidRPr="006B599C">
        <w:rPr>
          <w:rFonts w:ascii="Times New Roman" w:eastAsia="Times New Roman" w:hAnsi="Times New Roman" w:cs="Times New Roman"/>
          <w:kern w:val="0"/>
          <w:lang w:eastAsia="en-CA"/>
          <w14:ligatures w14:val="none"/>
        </w:rPr>
        <w:t>: The total number of issued shares.</w:t>
      </w:r>
    </w:p>
    <w:p w14:paraId="3EC22320"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w:t>
      </w:r>
      <w:r w:rsidRPr="006B599C">
        <w:rPr>
          <w:rFonts w:ascii="Times New Roman" w:eastAsia="Times New Roman" w:hAnsi="Times New Roman" w:cs="Times New Roman"/>
          <w:kern w:val="0"/>
          <w:lang w:eastAsia="en-CA"/>
          <w14:ligatures w14:val="none"/>
        </w:rPr>
        <w:t>: The number of shares sold short (betting on a price decrease).</w:t>
      </w:r>
    </w:p>
    <w:p w14:paraId="38CA66C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sharesShortPriorMonth</w:t>
      </w:r>
      <w:r w:rsidRPr="006B599C">
        <w:rPr>
          <w:rFonts w:ascii="Times New Roman" w:eastAsia="Times New Roman" w:hAnsi="Times New Roman" w:cs="Times New Roman"/>
          <w:kern w:val="0"/>
          <w:lang w:eastAsia="en-CA"/>
          <w14:ligatures w14:val="none"/>
        </w:rPr>
        <w:t>: The number of shares shorted in the previous month.</w:t>
      </w:r>
    </w:p>
    <w:p w14:paraId="47D6C10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sharesPercentSharesOut</w:t>
      </w:r>
      <w:r w:rsidRPr="006B599C">
        <w:rPr>
          <w:rFonts w:ascii="Times New Roman" w:eastAsia="Times New Roman" w:hAnsi="Times New Roman" w:cs="Times New Roman"/>
          <w:kern w:val="0"/>
          <w:lang w:eastAsia="en-CA"/>
          <w14:ligatures w14:val="none"/>
        </w:rPr>
        <w:t>: The percentage of outstanding shares that are sold short.</w:t>
      </w:r>
    </w:p>
    <w:p w14:paraId="14B9163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heldPercentInsiders</w:t>
      </w:r>
      <w:r w:rsidRPr="006B599C">
        <w:rPr>
          <w:rFonts w:ascii="Times New Roman" w:eastAsia="Times New Roman" w:hAnsi="Times New Roman" w:cs="Times New Roman"/>
          <w:kern w:val="0"/>
          <w:lang w:eastAsia="en-CA"/>
          <w14:ligatures w14:val="none"/>
        </w:rPr>
        <w:t>: The percentage of shares held by insiders (e.g., executives).</w:t>
      </w:r>
    </w:p>
    <w:p w14:paraId="1B963DE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shortRatio</w:t>
      </w:r>
      <w:r w:rsidRPr="006B599C">
        <w:rPr>
          <w:rFonts w:ascii="Times New Roman" w:eastAsia="Times New Roman" w:hAnsi="Times New Roman" w:cs="Times New Roman"/>
          <w:kern w:val="0"/>
          <w:lang w:eastAsia="en-CA"/>
          <w14:ligatures w14:val="none"/>
        </w:rPr>
        <w:t>: The ratio of shares short to average daily trading volume.</w:t>
      </w:r>
    </w:p>
    <w:p w14:paraId="6DD1C5C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impliedSharesOutstanding</w:t>
      </w:r>
      <w:r w:rsidRPr="006B599C">
        <w:rPr>
          <w:rFonts w:ascii="Times New Roman" w:eastAsia="Times New Roman" w:hAnsi="Times New Roman" w:cs="Times New Roman"/>
          <w:kern w:val="0"/>
          <w:lang w:eastAsia="en-CA"/>
          <w14:ligatures w14:val="none"/>
        </w:rPr>
        <w:t>: The implied number of shares outstanding based on financial instruments.</w:t>
      </w:r>
    </w:p>
    <w:p w14:paraId="239D0443"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59B9552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bookValue</w:t>
      </w:r>
      <w:r w:rsidRPr="006B599C">
        <w:rPr>
          <w:rFonts w:ascii="Times New Roman" w:eastAsia="Times New Roman" w:hAnsi="Times New Roman" w:cs="Times New Roman"/>
          <w:kern w:val="0"/>
          <w:lang w:eastAsia="en-CA"/>
          <w14:ligatures w14:val="none"/>
        </w:rPr>
        <w:t>: The company’s book value per share (assets - liabilities).</w:t>
      </w:r>
    </w:p>
    <w:p w14:paraId="3605B38F"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priceToBook</w:t>
      </w:r>
      <w:r w:rsidRPr="006B599C">
        <w:rPr>
          <w:rFonts w:ascii="Times New Roman" w:eastAsia="Times New Roman" w:hAnsi="Times New Roman" w:cs="Times New Roman"/>
          <w:kern w:val="0"/>
          <w:lang w:eastAsia="en-CA"/>
          <w14:ligatures w14:val="none"/>
        </w:rPr>
        <w:t>: Price-to-book ratio (stock price compared to book value per share).</w:t>
      </w:r>
    </w:p>
    <w:p w14:paraId="13C6335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netIncomeToCommon</w:t>
      </w:r>
      <w:r w:rsidRPr="006B599C">
        <w:rPr>
          <w:rFonts w:ascii="Times New Roman" w:eastAsia="Times New Roman" w:hAnsi="Times New Roman" w:cs="Times New Roman"/>
          <w:kern w:val="0"/>
          <w:lang w:eastAsia="en-CA"/>
          <w14:ligatures w14:val="none"/>
        </w:rPr>
        <w:t>: The net income attributable to common shareholders.</w:t>
      </w:r>
    </w:p>
    <w:p w14:paraId="35AD5C64"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trailingEps</w:t>
      </w:r>
      <w:r w:rsidRPr="006B599C">
        <w:rPr>
          <w:rFonts w:ascii="Times New Roman" w:eastAsia="Times New Roman" w:hAnsi="Times New Roman" w:cs="Times New Roman"/>
          <w:kern w:val="0"/>
          <w:lang w:eastAsia="en-CA"/>
          <w14:ligatures w14:val="none"/>
        </w:rPr>
        <w:t>: Earnings per share (EPS) over the trailing 12 months.</w:t>
      </w:r>
    </w:p>
    <w:p w14:paraId="56BE277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lastSplitFactor</w:t>
      </w:r>
      <w:r w:rsidRPr="006B599C">
        <w:rPr>
          <w:rFonts w:ascii="Times New Roman" w:eastAsia="Times New Roman" w:hAnsi="Times New Roman" w:cs="Times New Roman"/>
          <w:kern w:val="0"/>
          <w:lang w:eastAsia="en-CA"/>
          <w14:ligatures w14:val="none"/>
        </w:rPr>
        <w:t>: Ratio of the most recent stock split (e.g., 2:1).</w:t>
      </w:r>
    </w:p>
    <w:p w14:paraId="57FDEB5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4339FE8F"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enterpriseToRevenue</w:t>
      </w:r>
      <w:r w:rsidRPr="006B599C">
        <w:rPr>
          <w:rFonts w:ascii="Times New Roman" w:eastAsia="Times New Roman" w:hAnsi="Times New Roman" w:cs="Times New Roman"/>
          <w:kern w:val="0"/>
          <w:lang w:eastAsia="en-CA"/>
          <w14:ligatures w14:val="none"/>
        </w:rPr>
        <w:t>: Enterprise value compared to revenue.</w:t>
      </w:r>
    </w:p>
    <w:p w14:paraId="22E79642"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297C2171"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1A1BC01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35A6377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lastDividendValue</w:t>
      </w:r>
      <w:r w:rsidRPr="006B599C">
        <w:rPr>
          <w:rFonts w:ascii="Times New Roman" w:eastAsia="Times New Roman" w:hAnsi="Times New Roman" w:cs="Times New Roman"/>
          <w:kern w:val="0"/>
          <w:lang w:eastAsia="en-CA"/>
          <w14:ligatures w14:val="none"/>
        </w:rPr>
        <w:t>: The value of the most recent dividend payment.</w:t>
      </w:r>
    </w:p>
    <w:p w14:paraId="44AA674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quoteType</w:t>
      </w:r>
      <w:r w:rsidRPr="006B599C">
        <w:rPr>
          <w:rFonts w:ascii="Times New Roman" w:eastAsia="Times New Roman" w:hAnsi="Times New Roman" w:cs="Times New Roman"/>
          <w:kern w:val="0"/>
          <w:lang w:eastAsia="en-CA"/>
          <w14:ligatures w14:val="none"/>
        </w:rPr>
        <w:t>: The type of security (e.g., "EQUITY").</w:t>
      </w:r>
    </w:p>
    <w:p w14:paraId="584A1970"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2DBED26D"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shortName</w:t>
      </w:r>
      <w:r w:rsidRPr="006B599C">
        <w:rPr>
          <w:rFonts w:ascii="Times New Roman" w:eastAsia="Times New Roman" w:hAnsi="Times New Roman" w:cs="Times New Roman"/>
          <w:kern w:val="0"/>
          <w:lang w:eastAsia="en-CA"/>
          <w14:ligatures w14:val="none"/>
        </w:rPr>
        <w:t>: A short name of the company.</w:t>
      </w:r>
    </w:p>
    <w:p w14:paraId="0C9B794A"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longName</w:t>
      </w:r>
      <w:r w:rsidRPr="006B599C">
        <w:rPr>
          <w:rFonts w:ascii="Times New Roman" w:eastAsia="Times New Roman" w:hAnsi="Times New Roman" w:cs="Times New Roman"/>
          <w:kern w:val="0"/>
          <w:lang w:eastAsia="en-CA"/>
          <w14:ligatures w14:val="none"/>
        </w:rPr>
        <w:t>: The full name of the company.</w:t>
      </w:r>
    </w:p>
    <w:p w14:paraId="4388CF9E"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recommendationKey</w:t>
      </w:r>
      <w:r w:rsidRPr="006B599C">
        <w:rPr>
          <w:rFonts w:ascii="Times New Roman" w:eastAsia="Times New Roman" w:hAnsi="Times New Roman" w:cs="Times New Roman"/>
          <w:kern w:val="0"/>
          <w:lang w:eastAsia="en-CA"/>
          <w14:ligatures w14:val="none"/>
        </w:rPr>
        <w:t>: Analyst recommendation (e.g., "buy," "hold").</w:t>
      </w:r>
    </w:p>
    <w:p w14:paraId="7291C20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w:t>
      </w:r>
      <w:r w:rsidRPr="006B599C">
        <w:rPr>
          <w:rFonts w:ascii="Times New Roman" w:eastAsia="Times New Roman" w:hAnsi="Times New Roman" w:cs="Times New Roman"/>
          <w:kern w:val="0"/>
          <w:lang w:eastAsia="en-CA"/>
          <w14:ligatures w14:val="none"/>
        </w:rPr>
        <w:t>: Total cash held by the company.</w:t>
      </w:r>
    </w:p>
    <w:p w14:paraId="5CCD7A6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totalCashPerShare</w:t>
      </w:r>
      <w:r w:rsidRPr="006B599C">
        <w:rPr>
          <w:rFonts w:ascii="Times New Roman" w:eastAsia="Times New Roman" w:hAnsi="Times New Roman" w:cs="Times New Roman"/>
          <w:kern w:val="0"/>
          <w:lang w:eastAsia="en-CA"/>
          <w14:ligatures w14:val="none"/>
        </w:rPr>
        <w:t>: Total cash per share.</w:t>
      </w:r>
    </w:p>
    <w:p w14:paraId="51DCD48C"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totalDebt</w:t>
      </w:r>
      <w:r w:rsidRPr="006B599C">
        <w:rPr>
          <w:rFonts w:ascii="Times New Roman" w:eastAsia="Times New Roman" w:hAnsi="Times New Roman" w:cs="Times New Roman"/>
          <w:kern w:val="0"/>
          <w:lang w:eastAsia="en-CA"/>
          <w14:ligatures w14:val="none"/>
        </w:rPr>
        <w:t>: Total company debt.</w:t>
      </w:r>
    </w:p>
    <w:p w14:paraId="1FD2DB9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quickRatio</w:t>
      </w:r>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774037A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currentRatio</w:t>
      </w:r>
      <w:r w:rsidRPr="006B599C">
        <w:rPr>
          <w:rFonts w:ascii="Times New Roman" w:eastAsia="Times New Roman" w:hAnsi="Times New Roman" w:cs="Times New Roman"/>
          <w:kern w:val="0"/>
          <w:lang w:eastAsia="en-CA"/>
          <w14:ligatures w14:val="none"/>
        </w:rPr>
        <w:t>: Ratio of current assets to current liabilities.</w:t>
      </w:r>
    </w:p>
    <w:p w14:paraId="75A3FA2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totalRevenue</w:t>
      </w:r>
      <w:r w:rsidRPr="006B599C">
        <w:rPr>
          <w:rFonts w:ascii="Times New Roman" w:eastAsia="Times New Roman" w:hAnsi="Times New Roman" w:cs="Times New Roman"/>
          <w:kern w:val="0"/>
          <w:lang w:eastAsia="en-CA"/>
          <w14:ligatures w14:val="none"/>
        </w:rPr>
        <w:t>: Total revenue of the company.</w:t>
      </w:r>
    </w:p>
    <w:p w14:paraId="2EC0870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debtToEquity</w:t>
      </w:r>
      <w:r w:rsidRPr="006B599C">
        <w:rPr>
          <w:rFonts w:ascii="Times New Roman" w:eastAsia="Times New Roman" w:hAnsi="Times New Roman" w:cs="Times New Roman"/>
          <w:kern w:val="0"/>
          <w:lang w:eastAsia="en-CA"/>
          <w14:ligatures w14:val="none"/>
        </w:rPr>
        <w:t>: Ratio of total debt to shareholders’ equity.</w:t>
      </w:r>
    </w:p>
    <w:p w14:paraId="2B080D4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6EF317F0"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revenuePerShare</w:t>
      </w:r>
      <w:r w:rsidRPr="006B599C">
        <w:rPr>
          <w:rFonts w:ascii="Times New Roman" w:eastAsia="Times New Roman" w:hAnsi="Times New Roman" w:cs="Times New Roman"/>
          <w:kern w:val="0"/>
          <w:lang w:eastAsia="en-CA"/>
          <w14:ligatures w14:val="none"/>
        </w:rPr>
        <w:t>: Revenue generated per share.</w:t>
      </w:r>
    </w:p>
    <w:p w14:paraId="7EEA51A3"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returnOnAssets</w:t>
      </w:r>
      <w:r w:rsidRPr="006B599C">
        <w:rPr>
          <w:rFonts w:ascii="Times New Roman" w:eastAsia="Times New Roman" w:hAnsi="Times New Roman" w:cs="Times New Roman"/>
          <w:kern w:val="0"/>
          <w:lang w:eastAsia="en-CA"/>
          <w14:ligatures w14:val="none"/>
        </w:rPr>
        <w:t>: Return on assets, showing profitability relative to assets.</w:t>
      </w:r>
    </w:p>
    <w:p w14:paraId="7E4AD9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returnOnEquity</w:t>
      </w:r>
      <w:r w:rsidRPr="006B599C">
        <w:rPr>
          <w:rFonts w:ascii="Times New Roman" w:eastAsia="Times New Roman" w:hAnsi="Times New Roman" w:cs="Times New Roman"/>
          <w:kern w:val="0"/>
          <w:lang w:eastAsia="en-CA"/>
          <w14:ligatures w14:val="none"/>
        </w:rPr>
        <w:t>: Return on equity, showing profitability relative to equity.</w:t>
      </w:r>
    </w:p>
    <w:p w14:paraId="1881CE6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grossProfits</w:t>
      </w:r>
      <w:r w:rsidRPr="006B599C">
        <w:rPr>
          <w:rFonts w:ascii="Times New Roman" w:eastAsia="Times New Roman" w:hAnsi="Times New Roman" w:cs="Times New Roman"/>
          <w:kern w:val="0"/>
          <w:lang w:eastAsia="en-CA"/>
          <w14:ligatures w14:val="none"/>
        </w:rPr>
        <w:t>: Total revenue minus the cost of goods sold.</w:t>
      </w:r>
    </w:p>
    <w:p w14:paraId="46D91F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freeCashflow</w:t>
      </w:r>
      <w:r w:rsidRPr="006B599C">
        <w:rPr>
          <w:rFonts w:ascii="Times New Roman" w:eastAsia="Times New Roman" w:hAnsi="Times New Roman" w:cs="Times New Roman"/>
          <w:kern w:val="0"/>
          <w:lang w:eastAsia="en-CA"/>
          <w14:ligatures w14:val="none"/>
        </w:rPr>
        <w:t>: Cash available after operating expenses and capital expenditures.</w:t>
      </w:r>
    </w:p>
    <w:p w14:paraId="1294FE9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operatingCashflow</w:t>
      </w:r>
      <w:r w:rsidRPr="006B599C">
        <w:rPr>
          <w:rFonts w:ascii="Times New Roman" w:eastAsia="Times New Roman" w:hAnsi="Times New Roman" w:cs="Times New Roman"/>
          <w:kern w:val="0"/>
          <w:lang w:eastAsia="en-CA"/>
          <w14:ligatures w14:val="none"/>
        </w:rPr>
        <w:t>: Cash generated from regular business operations.</w:t>
      </w:r>
    </w:p>
    <w:p w14:paraId="78F89FFA"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operatingMargins</w:t>
      </w:r>
      <w:r w:rsidRPr="006B599C">
        <w:rPr>
          <w:rFonts w:ascii="Times New Roman" w:eastAsia="Times New Roman" w:hAnsi="Times New Roman" w:cs="Times New Roman"/>
          <w:kern w:val="0"/>
          <w:lang w:eastAsia="en-CA"/>
          <w14:ligatures w14:val="none"/>
        </w:rPr>
        <w:t>: Operating income as a percentage of revenue.</w:t>
      </w:r>
    </w:p>
    <w:p w14:paraId="751E3CF1"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2414E4F6"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financialCurrency</w:t>
      </w:r>
      <w:r w:rsidRPr="006B599C">
        <w:rPr>
          <w:rFonts w:ascii="Times New Roman" w:eastAsia="Times New Roman" w:hAnsi="Times New Roman" w:cs="Times New Roman"/>
          <w:kern w:val="0"/>
          <w:lang w:eastAsia="en-CA"/>
          <w14:ligatures w14:val="none"/>
        </w:rPr>
        <w:t>: The currency used in financial reporting.</w:t>
      </w:r>
    </w:p>
    <w:p w14:paraId="50A06B23"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trailingPegRatio</w:t>
      </w:r>
      <w:r w:rsidRPr="006B599C">
        <w:rPr>
          <w:rFonts w:ascii="Times New Roman" w:eastAsia="Times New Roman" w:hAnsi="Times New Roman" w:cs="Times New Roman"/>
          <w:kern w:val="0"/>
          <w:lang w:eastAsia="en-CA"/>
          <w14:ligatures w14:val="none"/>
        </w:rPr>
        <w:t>: Price/earnings-to-growth ratio, adjusted for growth.</w:t>
      </w:r>
    </w:p>
    <w:p w14:paraId="353AF947"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forwardPE</w:t>
      </w:r>
      <w:r w:rsidRPr="006B599C">
        <w:rPr>
          <w:rFonts w:ascii="Times New Roman" w:eastAsia="Times New Roman" w:hAnsi="Times New Roman" w:cs="Times New Roman"/>
          <w:kern w:val="0"/>
          <w:lang w:eastAsia="en-CA"/>
          <w14:ligatures w14:val="none"/>
        </w:rPr>
        <w:t>: Forward price-to-earnings ratio (based on future earnings).</w:t>
      </w:r>
    </w:p>
    <w:p w14:paraId="3279F14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profitMargins</w:t>
      </w:r>
      <w:r w:rsidRPr="006B599C">
        <w:rPr>
          <w:rFonts w:ascii="Times New Roman" w:eastAsia="Times New Roman" w:hAnsi="Times New Roman" w:cs="Times New Roman"/>
          <w:kern w:val="0"/>
          <w:lang w:eastAsia="en-CA"/>
          <w14:ligatures w14:val="none"/>
        </w:rPr>
        <w:t>: Net income as a percentage of revenue.</w:t>
      </w:r>
    </w:p>
    <w:p w14:paraId="0B2A44DB"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heldPercentInstitutions</w:t>
      </w:r>
      <w:r w:rsidRPr="006B599C">
        <w:rPr>
          <w:rFonts w:ascii="Times New Roman" w:eastAsia="Times New Roman" w:hAnsi="Times New Roman" w:cs="Times New Roman"/>
          <w:kern w:val="0"/>
          <w:lang w:eastAsia="en-CA"/>
          <w14:ligatures w14:val="none"/>
        </w:rPr>
        <w:t>: Percentage of shares held by institutional investors.</w:t>
      </w:r>
    </w:p>
    <w:p w14:paraId="6FA0360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forwardEps</w:t>
      </w:r>
      <w:r w:rsidRPr="006B599C">
        <w:rPr>
          <w:rFonts w:ascii="Times New Roman" w:eastAsia="Times New Roman" w:hAnsi="Times New Roman" w:cs="Times New Roman"/>
          <w:kern w:val="0"/>
          <w:lang w:eastAsia="en-CA"/>
          <w14:ligatures w14:val="none"/>
        </w:rPr>
        <w:t>: Expected earnings per share in the future.</w:t>
      </w:r>
    </w:p>
    <w:p w14:paraId="7045E51D"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enterpriseToEbitda</w:t>
      </w:r>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4736E77"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1B61987C"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targetHighPrice</w:t>
      </w:r>
      <w:r w:rsidRPr="006B599C">
        <w:rPr>
          <w:rFonts w:ascii="Times New Roman" w:eastAsia="Times New Roman" w:hAnsi="Times New Roman" w:cs="Times New Roman"/>
          <w:kern w:val="0"/>
          <w:lang w:eastAsia="en-CA"/>
          <w14:ligatures w14:val="none"/>
        </w:rPr>
        <w:t>: Analyst’s highest target price for the stock.</w:t>
      </w:r>
    </w:p>
    <w:p w14:paraId="0A238AF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targetLowPrice</w:t>
      </w:r>
      <w:r w:rsidRPr="006B599C">
        <w:rPr>
          <w:rFonts w:ascii="Times New Roman" w:eastAsia="Times New Roman" w:hAnsi="Times New Roman" w:cs="Times New Roman"/>
          <w:kern w:val="0"/>
          <w:lang w:eastAsia="en-CA"/>
          <w14:ligatures w14:val="none"/>
        </w:rPr>
        <w:t>: Analyst’s lowest target price for the stock.</w:t>
      </w:r>
    </w:p>
    <w:p w14:paraId="1095F46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targetMeanPrice</w:t>
      </w:r>
      <w:r w:rsidRPr="006B599C">
        <w:rPr>
          <w:rFonts w:ascii="Times New Roman" w:eastAsia="Times New Roman" w:hAnsi="Times New Roman" w:cs="Times New Roman"/>
          <w:kern w:val="0"/>
          <w:lang w:eastAsia="en-CA"/>
          <w14:ligatures w14:val="none"/>
        </w:rPr>
        <w:t>: Analyst’s average target price for the stock.</w:t>
      </w:r>
    </w:p>
    <w:p w14:paraId="63CCE2E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targetMedianPrice</w:t>
      </w:r>
      <w:r w:rsidRPr="006B599C">
        <w:rPr>
          <w:rFonts w:ascii="Times New Roman" w:eastAsia="Times New Roman" w:hAnsi="Times New Roman" w:cs="Times New Roman"/>
          <w:kern w:val="0"/>
          <w:lang w:eastAsia="en-CA"/>
          <w14:ligatures w14:val="none"/>
        </w:rPr>
        <w:t>: Analyst’s median target price for the stock.</w:t>
      </w:r>
    </w:p>
    <w:p w14:paraId="4628FA67"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recommendationMean</w:t>
      </w:r>
      <w:r w:rsidRPr="006B599C">
        <w:rPr>
          <w:rFonts w:ascii="Times New Roman" w:eastAsia="Times New Roman" w:hAnsi="Times New Roman" w:cs="Times New Roman"/>
          <w:kern w:val="0"/>
          <w:lang w:eastAsia="en-CA"/>
          <w14:ligatures w14:val="none"/>
        </w:rPr>
        <w:t>: Average analyst recommendation score (1 = Strong Buy, 5 = Sell).</w:t>
      </w:r>
    </w:p>
    <w:p w14:paraId="2D1B166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numberOfAnalystOpinions</w:t>
      </w:r>
      <w:r w:rsidRPr="006B599C">
        <w:rPr>
          <w:rFonts w:ascii="Times New Roman" w:eastAsia="Times New Roman" w:hAnsi="Times New Roman" w:cs="Times New Roman"/>
          <w:kern w:val="0"/>
          <w:lang w:eastAsia="en-CA"/>
          <w14:ligatures w14:val="none"/>
        </w:rPr>
        <w:t>: Number of analysts providing recommendations.</w:t>
      </w:r>
    </w:p>
    <w:p w14:paraId="0336AD0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6399CACD"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w:t>
      </w:r>
      <w:r w:rsidRPr="006B599C">
        <w:rPr>
          <w:rFonts w:ascii="Times New Roman" w:eastAsia="Times New Roman" w:hAnsi="Times New Roman" w:cs="Times New Roman"/>
          <w:kern w:val="0"/>
          <w:lang w:eastAsia="en-CA"/>
          <w14:ligatures w14:val="none"/>
        </w:rPr>
        <w:t>: Earnings before interest, taxes, depreciation, and amortization.</w:t>
      </w:r>
    </w:p>
    <w:p w14:paraId="1E05F6B7"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revenueGrowth</w:t>
      </w:r>
      <w:r w:rsidRPr="006B599C">
        <w:rPr>
          <w:rFonts w:ascii="Times New Roman" w:eastAsia="Times New Roman" w:hAnsi="Times New Roman" w:cs="Times New Roman"/>
          <w:kern w:val="0"/>
          <w:lang w:eastAsia="en-CA"/>
          <w14:ligatures w14:val="none"/>
        </w:rPr>
        <w:t>: Year-over-year growth in revenue.</w:t>
      </w:r>
    </w:p>
    <w:p w14:paraId="65D68599"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grossMargins</w:t>
      </w:r>
      <w:r w:rsidRPr="006B599C">
        <w:rPr>
          <w:rFonts w:ascii="Times New Roman" w:eastAsia="Times New Roman" w:hAnsi="Times New Roman" w:cs="Times New Roman"/>
          <w:kern w:val="0"/>
          <w:lang w:eastAsia="en-CA"/>
          <w14:ligatures w14:val="none"/>
        </w:rPr>
        <w:t>: Gross profit as a percentage of revenue.</w:t>
      </w:r>
    </w:p>
    <w:p w14:paraId="71D0247B"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ebitdaMargins</w:t>
      </w:r>
      <w:r w:rsidRPr="006B599C">
        <w:rPr>
          <w:rFonts w:ascii="Times New Roman" w:eastAsia="Times New Roman" w:hAnsi="Times New Roman" w:cs="Times New Roman"/>
          <w:kern w:val="0"/>
          <w:lang w:eastAsia="en-CA"/>
          <w14:ligatures w14:val="none"/>
        </w:rPr>
        <w:t>: EBITDA as a percentage of revenue.</w:t>
      </w:r>
    </w:p>
    <w:p w14:paraId="5914841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031C0E25" w14:textId="77777777" w:rsidR="006B599C" w:rsidRPr="006B599C" w:rsidRDefault="006B599C" w:rsidP="006B599C">
      <w:pPr>
        <w:numPr>
          <w:ilvl w:val="0"/>
          <w:numId w:val="3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auditRisk, boardRisk, compensationRisk, shareHolderRightsRisk, overallRisk</w:t>
      </w:r>
      <w:r w:rsidRPr="006B599C">
        <w:rPr>
          <w:rFonts w:ascii="Times New Roman" w:eastAsia="Times New Roman" w:hAnsi="Times New Roman" w:cs="Times New Roman"/>
          <w:kern w:val="0"/>
          <w:lang w:eastAsia="en-CA"/>
          <w14:ligatures w14:val="none"/>
        </w:rPr>
        <w:t>: Various risk assessments (e.g., governance risks).</w:t>
      </w:r>
    </w:p>
    <w:p w14:paraId="66576639" w14:textId="77777777" w:rsidR="006B599C" w:rsidRPr="006B599C" w:rsidRDefault="006B599C" w:rsidP="006B599C">
      <w:pPr>
        <w:spacing w:after="0" w:line="240" w:lineRule="auto"/>
        <w:rPr>
          <w:rFonts w:ascii="Times New Roman" w:eastAsia="Times New Roman" w:hAnsi="Times New Roman" w:cs="Times New Roman"/>
          <w:kern w:val="0"/>
          <w:lang w:eastAsia="en-CA"/>
          <w14:ligatures w14:val="none"/>
        </w:rPr>
      </w:pPr>
    </w:p>
    <w:p w14:paraId="41F98F2C"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1DF65C2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fiveYearAvgDividendYield</w:t>
      </w:r>
      <w:r w:rsidRPr="006B599C">
        <w:rPr>
          <w:rFonts w:ascii="Times New Roman" w:eastAsia="Times New Roman" w:hAnsi="Times New Roman" w:cs="Times New Roman"/>
          <w:kern w:val="0"/>
          <w:lang w:eastAsia="en-CA"/>
          <w14:ligatures w14:val="none"/>
        </w:rPr>
        <w:t>: The average dividend yield over the past 5 years.</w:t>
      </w:r>
    </w:p>
    <w:p w14:paraId="0F395354"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trailingPE</w:t>
      </w:r>
      <w:r w:rsidRPr="006B599C">
        <w:rPr>
          <w:rFonts w:ascii="Times New Roman" w:eastAsia="Times New Roman" w:hAnsi="Times New Roman" w:cs="Times New Roman"/>
          <w:kern w:val="0"/>
          <w:lang w:eastAsia="en-CA"/>
          <w14:ligatures w14:val="none"/>
        </w:rPr>
        <w:t>: Trailing price-to-earnings ratio.</w:t>
      </w:r>
    </w:p>
    <w:p w14:paraId="253E823A"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shortPercentOfFloat</w:t>
      </w:r>
      <w:r w:rsidRPr="006B599C">
        <w:rPr>
          <w:rFonts w:ascii="Times New Roman" w:eastAsia="Times New Roman" w:hAnsi="Times New Roman" w:cs="Times New Roman"/>
          <w:kern w:val="0"/>
          <w:lang w:eastAsia="en-CA"/>
          <w14:ligatures w14:val="none"/>
        </w:rPr>
        <w:t>: Percentage of float shares sold short.</w:t>
      </w:r>
    </w:p>
    <w:p w14:paraId="6A16B433"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dividendRate</w:t>
      </w:r>
      <w:r w:rsidRPr="006B599C">
        <w:rPr>
          <w:rFonts w:ascii="Times New Roman" w:eastAsia="Times New Roman" w:hAnsi="Times New Roman" w:cs="Times New Roman"/>
          <w:kern w:val="0"/>
          <w:lang w:eastAsia="en-CA"/>
          <w14:ligatures w14:val="none"/>
        </w:rPr>
        <w:t>: Annual dividend payment per share.</w:t>
      </w:r>
    </w:p>
    <w:p w14:paraId="040BED29"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dividendYield</w:t>
      </w:r>
      <w:r w:rsidRPr="006B599C">
        <w:rPr>
          <w:rFonts w:ascii="Times New Roman" w:eastAsia="Times New Roman" w:hAnsi="Times New Roman" w:cs="Times New Roman"/>
          <w:kern w:val="0"/>
          <w:lang w:eastAsia="en-CA"/>
          <w14:ligatures w14:val="none"/>
        </w:rPr>
        <w:t>: Dividend as a percentage of stock price.</w:t>
      </w:r>
    </w:p>
    <w:p w14:paraId="5895EF3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payoutRatio</w:t>
      </w:r>
      <w:r w:rsidRPr="006B599C">
        <w:rPr>
          <w:rFonts w:ascii="Times New Roman" w:eastAsia="Times New Roman" w:hAnsi="Times New Roman" w:cs="Times New Roman"/>
          <w:kern w:val="0"/>
          <w:lang w:eastAsia="en-CA"/>
          <w14:ligatures w14:val="none"/>
        </w:rPr>
        <w:t>: Percentage of earnings paid as dividends.</w:t>
      </w:r>
    </w:p>
    <w:p w14:paraId="0B063EF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09A934A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trailingAnnualDividendRate</w:t>
      </w:r>
      <w:r w:rsidRPr="006B599C">
        <w:rPr>
          <w:rFonts w:ascii="Times New Roman" w:eastAsia="Times New Roman" w:hAnsi="Times New Roman" w:cs="Times New Roman"/>
          <w:kern w:val="0"/>
          <w:lang w:eastAsia="en-CA"/>
          <w14:ligatures w14:val="none"/>
        </w:rPr>
        <w:t>: Dividend rate over the trailing 12 months.</w:t>
      </w:r>
    </w:p>
    <w:p w14:paraId="3B55149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trailingAnnualDividendYield</w:t>
      </w:r>
      <w:r w:rsidRPr="006B599C">
        <w:rPr>
          <w:rFonts w:ascii="Times New Roman" w:eastAsia="Times New Roman" w:hAnsi="Times New Roman" w:cs="Times New Roman"/>
          <w:kern w:val="0"/>
          <w:lang w:eastAsia="en-CA"/>
          <w14:ligatures w14:val="none"/>
        </w:rPr>
        <w:t>: Dividend yield over the trailing 12 months.</w:t>
      </w:r>
    </w:p>
    <w:p w14:paraId="4A03308E"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earningsQuarterlyGrowth</w:t>
      </w:r>
      <w:r w:rsidRPr="006B599C">
        <w:rPr>
          <w:rFonts w:ascii="Times New Roman" w:eastAsia="Times New Roman" w:hAnsi="Times New Roman" w:cs="Times New Roman"/>
          <w:kern w:val="0"/>
          <w:lang w:eastAsia="en-CA"/>
          <w14:ligatures w14:val="none"/>
        </w:rPr>
        <w:t>: Growth in earnings compared to the same quarter last year.</w:t>
      </w:r>
    </w:p>
    <w:p w14:paraId="776A99AA"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earningsGrowth</w:t>
      </w:r>
      <w:r w:rsidRPr="006B599C">
        <w:rPr>
          <w:rFonts w:ascii="Times New Roman" w:eastAsia="Times New Roman" w:hAnsi="Times New Roman" w:cs="Times New Roman"/>
          <w:kern w:val="0"/>
          <w:lang w:eastAsia="en-CA"/>
          <w14:ligatures w14:val="none"/>
        </w:rPr>
        <w:t>: Growth in earnings over time.</w:t>
      </w:r>
    </w:p>
    <w:p w14:paraId="4F96060B"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4972B46E"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totalAssets</w:t>
      </w:r>
      <w:r w:rsidRPr="006B599C">
        <w:rPr>
          <w:rFonts w:ascii="Times New Roman" w:eastAsia="Times New Roman" w:hAnsi="Times New Roman" w:cs="Times New Roman"/>
          <w:kern w:val="0"/>
          <w:lang w:eastAsia="en-CA"/>
          <w14:ligatures w14:val="none"/>
        </w:rPr>
        <w:t>: Total assets of a mutual fund.</w:t>
      </w:r>
    </w:p>
    <w:p w14:paraId="5080B108"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navPrice</w:t>
      </w:r>
      <w:r w:rsidRPr="006B599C">
        <w:rPr>
          <w:rFonts w:ascii="Times New Roman" w:eastAsia="Times New Roman" w:hAnsi="Times New Roman" w:cs="Times New Roman"/>
          <w:kern w:val="0"/>
          <w:lang w:eastAsia="en-CA"/>
          <w14:ligatures w14:val="none"/>
        </w:rPr>
        <w:t>: Net asset value (NAV) price of a mutual fund.</w:t>
      </w:r>
    </w:p>
    <w:p w14:paraId="74146E46"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ytdReturn</w:t>
      </w:r>
      <w:r w:rsidRPr="006B599C">
        <w:rPr>
          <w:rFonts w:ascii="Times New Roman" w:eastAsia="Times New Roman" w:hAnsi="Times New Roman" w:cs="Times New Roman"/>
          <w:kern w:val="0"/>
          <w:lang w:eastAsia="en-CA"/>
          <w14:ligatures w14:val="none"/>
        </w:rPr>
        <w:t>: Year-to-date return of a mutual fund.</w:t>
      </w:r>
    </w:p>
    <w:p w14:paraId="4ED7629F"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fundFamily</w:t>
      </w:r>
      <w:r w:rsidRPr="006B599C">
        <w:rPr>
          <w:rFonts w:ascii="Times New Roman" w:eastAsia="Times New Roman" w:hAnsi="Times New Roman" w:cs="Times New Roman"/>
          <w:kern w:val="0"/>
          <w:lang w:eastAsia="en-CA"/>
          <w14:ligatures w14:val="none"/>
        </w:rPr>
        <w:t>: The fund’s family or group (e.g., Vanguard, BlackRock).</w:t>
      </w:r>
    </w:p>
    <w:p w14:paraId="37EF5CE2"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legalType</w:t>
      </w:r>
      <w:r w:rsidRPr="006B599C">
        <w:rPr>
          <w:rFonts w:ascii="Times New Roman" w:eastAsia="Times New Roman" w:hAnsi="Times New Roman" w:cs="Times New Roman"/>
          <w:kern w:val="0"/>
          <w:lang w:eastAsia="en-CA"/>
          <w14:ligatures w14:val="none"/>
        </w:rPr>
        <w:t>: The legal structure of the mutual fund (e.g., "Open-End Fund").</w:t>
      </w:r>
    </w:p>
    <w:p w14:paraId="74CB0BE3"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2C93EFB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4260EB4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threeYearAverageReturn</w:t>
      </w:r>
      <w:r w:rsidRPr="006B599C">
        <w:rPr>
          <w:rFonts w:ascii="Times New Roman" w:eastAsia="Times New Roman" w:hAnsi="Times New Roman" w:cs="Times New Roman"/>
          <w:kern w:val="0"/>
          <w:lang w:eastAsia="en-CA"/>
          <w14:ligatures w14:val="none"/>
        </w:rPr>
        <w:t>: Average annual return over the past 3 years.</w:t>
      </w:r>
    </w:p>
    <w:p w14:paraId="1B2E8618"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fiveYearAverageReturn</w:t>
      </w:r>
      <w:r w:rsidRPr="006B599C">
        <w:rPr>
          <w:rFonts w:ascii="Times New Roman" w:eastAsia="Times New Roman" w:hAnsi="Times New Roman" w:cs="Times New Roman"/>
          <w:kern w:val="0"/>
          <w:lang w:eastAsia="en-CA"/>
          <w14:ligatures w14:val="none"/>
        </w:rPr>
        <w:t>: Average annual return over the past 5 years.</w:t>
      </w:r>
    </w:p>
    <w:p w14:paraId="62DAF9E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05B1A25B" w14:textId="77777777" w:rsidR="006B599C"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0AAE4093" w14:textId="77777777" w:rsidR="006B599C" w:rsidRPr="00945EDE"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59EFEDC4" w14:textId="77777777" w:rsidR="006B599C" w:rsidRPr="00945EDE" w:rsidRDefault="006B599C" w:rsidP="006B599C">
      <w:pPr>
        <w:rPr>
          <w:rFonts w:ascii="Times New Roman" w:hAnsi="Times New Roman" w:cs="Times New Roman"/>
          <w:sz w:val="40"/>
          <w:szCs w:val="40"/>
        </w:rPr>
      </w:pPr>
    </w:p>
    <w:p w14:paraId="79FD8A72" w14:textId="77777777" w:rsidR="006B599C" w:rsidRPr="006B599C"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6"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17"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8"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9"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20"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13"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7835693">
    <w:abstractNumId w:val="28"/>
  </w:num>
  <w:num w:numId="2" w16cid:durableId="92172213">
    <w:abstractNumId w:val="15"/>
  </w:num>
  <w:num w:numId="3" w16cid:durableId="149059239">
    <w:abstractNumId w:val="13"/>
  </w:num>
  <w:num w:numId="4" w16cid:durableId="483281761">
    <w:abstractNumId w:val="2"/>
  </w:num>
  <w:num w:numId="5" w16cid:durableId="124351998">
    <w:abstractNumId w:val="14"/>
  </w:num>
  <w:num w:numId="6" w16cid:durableId="2022774201">
    <w:abstractNumId w:val="26"/>
  </w:num>
  <w:num w:numId="7" w16cid:durableId="36200999">
    <w:abstractNumId w:val="25"/>
  </w:num>
  <w:num w:numId="8" w16cid:durableId="65930082">
    <w:abstractNumId w:val="33"/>
  </w:num>
  <w:num w:numId="9" w16cid:durableId="783354395">
    <w:abstractNumId w:val="27"/>
  </w:num>
  <w:num w:numId="10" w16cid:durableId="681010726">
    <w:abstractNumId w:val="23"/>
  </w:num>
  <w:num w:numId="11" w16cid:durableId="1080642543">
    <w:abstractNumId w:val="7"/>
  </w:num>
  <w:num w:numId="12" w16cid:durableId="2067685165">
    <w:abstractNumId w:val="1"/>
  </w:num>
  <w:num w:numId="13" w16cid:durableId="1047265547">
    <w:abstractNumId w:val="12"/>
  </w:num>
  <w:num w:numId="14" w16cid:durableId="2020545205">
    <w:abstractNumId w:val="30"/>
  </w:num>
  <w:num w:numId="15" w16cid:durableId="1636981645">
    <w:abstractNumId w:val="22"/>
  </w:num>
  <w:num w:numId="16" w16cid:durableId="1251154653">
    <w:abstractNumId w:val="11"/>
  </w:num>
  <w:num w:numId="17" w16cid:durableId="846673689">
    <w:abstractNumId w:val="29"/>
  </w:num>
  <w:num w:numId="18" w16cid:durableId="430859867">
    <w:abstractNumId w:val="24"/>
  </w:num>
  <w:num w:numId="19" w16cid:durableId="1155874165">
    <w:abstractNumId w:val="36"/>
  </w:num>
  <w:num w:numId="20" w16cid:durableId="661616124">
    <w:abstractNumId w:val="34"/>
  </w:num>
  <w:num w:numId="21" w16cid:durableId="1876692067">
    <w:abstractNumId w:val="4"/>
  </w:num>
  <w:num w:numId="22" w16cid:durableId="1032219510">
    <w:abstractNumId w:val="3"/>
  </w:num>
  <w:num w:numId="23" w16cid:durableId="608898329">
    <w:abstractNumId w:val="32"/>
  </w:num>
  <w:num w:numId="24" w16cid:durableId="576979813">
    <w:abstractNumId w:val="16"/>
  </w:num>
  <w:num w:numId="25" w16cid:durableId="830953447">
    <w:abstractNumId w:val="35"/>
  </w:num>
  <w:num w:numId="26" w16cid:durableId="908422987">
    <w:abstractNumId w:val="0"/>
  </w:num>
  <w:num w:numId="27" w16cid:durableId="1246106426">
    <w:abstractNumId w:val="31"/>
  </w:num>
  <w:num w:numId="28" w16cid:durableId="248201875">
    <w:abstractNumId w:val="20"/>
  </w:num>
  <w:num w:numId="29" w16cid:durableId="339938329">
    <w:abstractNumId w:val="18"/>
  </w:num>
  <w:num w:numId="30" w16cid:durableId="1322008373">
    <w:abstractNumId w:val="21"/>
  </w:num>
  <w:num w:numId="31" w16cid:durableId="1178152136">
    <w:abstractNumId w:val="10"/>
  </w:num>
  <w:num w:numId="32" w16cid:durableId="2029402810">
    <w:abstractNumId w:val="9"/>
  </w:num>
  <w:num w:numId="33" w16cid:durableId="1045058206">
    <w:abstractNumId w:val="6"/>
  </w:num>
  <w:num w:numId="34" w16cid:durableId="85807911">
    <w:abstractNumId w:val="17"/>
  </w:num>
  <w:num w:numId="35" w16cid:durableId="629631235">
    <w:abstractNumId w:val="19"/>
  </w:num>
  <w:num w:numId="36" w16cid:durableId="906843338">
    <w:abstractNumId w:val="37"/>
  </w:num>
  <w:num w:numId="37" w16cid:durableId="371423057">
    <w:abstractNumId w:val="5"/>
  </w:num>
  <w:num w:numId="38" w16cid:durableId="16095788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5340A"/>
    <w:rsid w:val="00196DF1"/>
    <w:rsid w:val="001B17C8"/>
    <w:rsid w:val="002D52AB"/>
    <w:rsid w:val="00484841"/>
    <w:rsid w:val="00523C5E"/>
    <w:rsid w:val="00572C48"/>
    <w:rsid w:val="005B0E34"/>
    <w:rsid w:val="006B599C"/>
    <w:rsid w:val="007A0070"/>
    <w:rsid w:val="008A6CC1"/>
    <w:rsid w:val="008C3188"/>
    <w:rsid w:val="008E025E"/>
    <w:rsid w:val="00B33DBF"/>
    <w:rsid w:val="00B66187"/>
    <w:rsid w:val="00C05715"/>
    <w:rsid w:val="00CF1DCC"/>
    <w:rsid w:val="00D16FAC"/>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https://medium.com/@leducanh1203/mastering-modern-portfolio-theory-the-foundation-of-smart-investing-40de2a656a32"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https://groww.in/p/portfolio-management" TargetMode="External"/><Relationship Id="rId2" Type="http://schemas.openxmlformats.org/officeDocument/2006/relationships/numbering" Target="numbering.xml"/><Relationship Id="rId16" Type="http://schemas.openxmlformats.org/officeDocument/2006/relationships/hyperlink" Target="https://www.investopedia.com/" TargetMode="External"/><Relationship Id="rId20" Type="http://schemas.openxmlformats.org/officeDocument/2006/relationships/hyperlink" Target="https://www.daytrading.com/portfolio-optimization-technique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yperlink" Target="https://www.daytrading.com/all-weather-portfolio-risk-parity" TargetMode="External"/><Relationship Id="rId19" Type="http://schemas.openxmlformats.org/officeDocument/2006/relationships/hyperlink" Target="https://medium.com/latinxinai/portfolio-optimization-the-markowitz-mean-variance-model-c07a80056b8a" TargetMode="External"/><Relationship Id="rId4" Type="http://schemas.openxmlformats.org/officeDocument/2006/relationships/settings" Target="settings.xml"/><Relationship Id="rId9" Type="http://schemas.openxmlformats.org/officeDocument/2006/relationships/hyperlink" Target="https://www.jstor.org/stable/2975974" TargetMode="Externa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23E1E-EF8A-47B0-A405-C7DCF115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Pages>
  <Words>5197</Words>
  <Characters>29628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Jobina Joy</cp:lastModifiedBy>
  <cp:revision>10</cp:revision>
  <dcterms:created xsi:type="dcterms:W3CDTF">2025-01-16T18:09:00Z</dcterms:created>
  <dcterms:modified xsi:type="dcterms:W3CDTF">2025-01-21T15:52:00Z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