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A76F" w14:textId="77777777" w:rsidR="00097691" w:rsidRDefault="00097691" w:rsidP="00097691">
      <w:pPr>
        <w:jc w:val="center"/>
        <w:rPr>
          <w:rFonts w:ascii="Times New Roman" w:hAnsi="Times New Roman"/>
          <w:b/>
          <w:bCs/>
          <w:sz w:val="36"/>
          <w:lang w:val="en-US"/>
        </w:rPr>
      </w:pPr>
    </w:p>
    <w:p w14:paraId="7CFBEDA2" w14:textId="77777777" w:rsidR="00097691" w:rsidRDefault="00097691" w:rsidP="00097691">
      <w:pPr>
        <w:jc w:val="center"/>
        <w:rPr>
          <w:rFonts w:ascii="Times New Roman" w:hAnsi="Times New Roman"/>
          <w:b/>
          <w:bCs/>
          <w:sz w:val="36"/>
          <w:lang w:val="en-US"/>
        </w:rPr>
      </w:pPr>
    </w:p>
    <w:p w14:paraId="7245F247" w14:textId="77777777" w:rsidR="00097691" w:rsidRDefault="00097691" w:rsidP="00097691">
      <w:pPr>
        <w:jc w:val="center"/>
        <w:rPr>
          <w:rFonts w:ascii="Times New Roman" w:hAnsi="Times New Roman"/>
          <w:b/>
          <w:bCs/>
          <w:sz w:val="36"/>
          <w:lang w:val="en-US"/>
        </w:rPr>
      </w:pPr>
    </w:p>
    <w:p w14:paraId="5C8B043F" w14:textId="77777777" w:rsidR="00097691" w:rsidRDefault="00097691" w:rsidP="00097691">
      <w:pPr>
        <w:jc w:val="center"/>
        <w:rPr>
          <w:rFonts w:ascii="Times New Roman" w:hAnsi="Times New Roman"/>
          <w:b/>
          <w:bCs/>
          <w:sz w:val="36"/>
          <w:lang w:val="en-US"/>
        </w:rPr>
      </w:pPr>
    </w:p>
    <w:p w14:paraId="09C4D249" w14:textId="77777777" w:rsidR="00097691" w:rsidRDefault="00097691" w:rsidP="00097691">
      <w:pPr>
        <w:jc w:val="center"/>
        <w:rPr>
          <w:rFonts w:ascii="Times New Roman" w:hAnsi="Times New Roman"/>
          <w:b/>
          <w:bCs/>
          <w:sz w:val="36"/>
          <w:lang w:val="en-US"/>
        </w:rPr>
      </w:pPr>
    </w:p>
    <w:p w14:paraId="1E575842" w14:textId="77777777" w:rsidR="00097691" w:rsidRDefault="00097691" w:rsidP="00097691">
      <w:pPr>
        <w:jc w:val="center"/>
        <w:rPr>
          <w:rFonts w:ascii="Times New Roman" w:hAnsi="Times New Roman"/>
          <w:b/>
          <w:bCs/>
          <w:sz w:val="36"/>
          <w:lang w:val="en-US"/>
        </w:rPr>
      </w:pPr>
    </w:p>
    <w:p w14:paraId="45FB07C6" w14:textId="77777777" w:rsidR="00097691" w:rsidRDefault="00097691" w:rsidP="00097691">
      <w:pPr>
        <w:jc w:val="center"/>
        <w:rPr>
          <w:rFonts w:ascii="Times New Roman" w:hAnsi="Times New Roman"/>
          <w:b/>
          <w:bCs/>
          <w:sz w:val="36"/>
          <w:lang w:val="en-US"/>
        </w:rPr>
      </w:pPr>
    </w:p>
    <w:p w14:paraId="138AE7C2" w14:textId="17E1A170" w:rsidR="005A0F56" w:rsidRPr="00097691" w:rsidRDefault="005A0F56" w:rsidP="00097691">
      <w:pPr>
        <w:jc w:val="center"/>
        <w:rPr>
          <w:rFonts w:ascii="Times New Roman" w:hAnsi="Times New Roman"/>
          <w:b/>
          <w:bCs/>
          <w:sz w:val="36"/>
          <w:lang w:val="en-US"/>
        </w:rPr>
      </w:pPr>
      <w:r w:rsidRPr="005A0F56">
        <w:rPr>
          <w:rFonts w:ascii="Times New Roman" w:hAnsi="Times New Roman"/>
          <w:b/>
          <w:bCs/>
          <w:sz w:val="36"/>
          <w:lang w:val="en-US"/>
        </w:rPr>
        <w:t>Stock Portfolio Allocation &amp; Risk Management using Reinforcement Learning</w:t>
      </w:r>
      <w:r w:rsidR="00097691">
        <w:rPr>
          <w:rFonts w:ascii="Times New Roman" w:hAnsi="Times New Roman"/>
          <w:b/>
          <w:bCs/>
          <w:sz w:val="36"/>
          <w:lang w:val="en-US"/>
        </w:rPr>
        <w:t xml:space="preserve"> </w:t>
      </w:r>
      <w:r>
        <w:rPr>
          <w:b/>
          <w:bCs/>
          <w:lang w:val="en-US"/>
        </w:rPr>
        <w:tab/>
      </w:r>
    </w:p>
    <w:p w14:paraId="49E86D6E" w14:textId="77777777" w:rsidR="00097691" w:rsidRDefault="00097691" w:rsidP="005A0F56">
      <w:pPr>
        <w:rPr>
          <w:rFonts w:ascii="Times New Roman" w:hAnsi="Times New Roman" w:cs="Times New Roman"/>
          <w:b/>
          <w:bCs/>
          <w:sz w:val="28"/>
          <w:lang w:val="en-US"/>
        </w:rPr>
      </w:pPr>
    </w:p>
    <w:p w14:paraId="44F1A2EB" w14:textId="77777777" w:rsidR="00097691" w:rsidRDefault="00097691" w:rsidP="005A0F56">
      <w:pPr>
        <w:rPr>
          <w:rFonts w:ascii="Times New Roman" w:hAnsi="Times New Roman" w:cs="Times New Roman"/>
          <w:b/>
          <w:bCs/>
          <w:sz w:val="28"/>
          <w:lang w:val="en-US"/>
        </w:rPr>
      </w:pPr>
    </w:p>
    <w:p w14:paraId="00B9DB6F" w14:textId="77777777" w:rsidR="00097691" w:rsidRDefault="00097691" w:rsidP="005A0F56">
      <w:pPr>
        <w:rPr>
          <w:rFonts w:ascii="Times New Roman" w:hAnsi="Times New Roman" w:cs="Times New Roman"/>
          <w:b/>
          <w:bCs/>
          <w:sz w:val="28"/>
          <w:lang w:val="en-US"/>
        </w:rPr>
      </w:pPr>
    </w:p>
    <w:p w14:paraId="7C66A5A5" w14:textId="77777777" w:rsidR="00097691" w:rsidRDefault="00097691" w:rsidP="005A0F56">
      <w:pPr>
        <w:rPr>
          <w:rFonts w:ascii="Times New Roman" w:hAnsi="Times New Roman" w:cs="Times New Roman"/>
          <w:b/>
          <w:bCs/>
          <w:sz w:val="28"/>
          <w:lang w:val="en-US"/>
        </w:rPr>
      </w:pPr>
    </w:p>
    <w:p w14:paraId="1E085C01" w14:textId="77777777" w:rsidR="00097691" w:rsidRDefault="00097691" w:rsidP="005A0F56">
      <w:pPr>
        <w:rPr>
          <w:rFonts w:ascii="Times New Roman" w:hAnsi="Times New Roman" w:cs="Times New Roman"/>
          <w:b/>
          <w:bCs/>
          <w:sz w:val="28"/>
          <w:lang w:val="en-US"/>
        </w:rPr>
      </w:pPr>
    </w:p>
    <w:p w14:paraId="3EF6D355" w14:textId="77777777" w:rsidR="00097691" w:rsidRDefault="00097691" w:rsidP="005A0F56">
      <w:pPr>
        <w:rPr>
          <w:rFonts w:ascii="Times New Roman" w:hAnsi="Times New Roman" w:cs="Times New Roman"/>
          <w:b/>
          <w:bCs/>
          <w:sz w:val="28"/>
          <w:lang w:val="en-US"/>
        </w:rPr>
      </w:pPr>
    </w:p>
    <w:p w14:paraId="4CDF7A38" w14:textId="77777777" w:rsidR="00097691" w:rsidRDefault="00097691" w:rsidP="005A0F56">
      <w:pPr>
        <w:rPr>
          <w:rFonts w:ascii="Times New Roman" w:hAnsi="Times New Roman" w:cs="Times New Roman"/>
          <w:b/>
          <w:bCs/>
          <w:sz w:val="28"/>
          <w:lang w:val="en-US"/>
        </w:rPr>
      </w:pPr>
    </w:p>
    <w:p w14:paraId="49CED988" w14:textId="77777777" w:rsidR="00097691" w:rsidRDefault="00097691" w:rsidP="005A0F56">
      <w:pPr>
        <w:rPr>
          <w:rFonts w:ascii="Times New Roman" w:hAnsi="Times New Roman" w:cs="Times New Roman"/>
          <w:b/>
          <w:bCs/>
          <w:sz w:val="28"/>
          <w:lang w:val="en-US"/>
        </w:rPr>
      </w:pPr>
    </w:p>
    <w:p w14:paraId="7AD82697" w14:textId="77777777" w:rsidR="00097691" w:rsidRDefault="00097691" w:rsidP="005A0F56">
      <w:pPr>
        <w:rPr>
          <w:rFonts w:ascii="Times New Roman" w:hAnsi="Times New Roman" w:cs="Times New Roman"/>
          <w:b/>
          <w:bCs/>
          <w:sz w:val="28"/>
          <w:lang w:val="en-US"/>
        </w:rPr>
      </w:pPr>
    </w:p>
    <w:p w14:paraId="24623056" w14:textId="77777777" w:rsidR="00097691" w:rsidRDefault="00097691" w:rsidP="005A0F56">
      <w:pPr>
        <w:rPr>
          <w:rFonts w:ascii="Times New Roman" w:hAnsi="Times New Roman" w:cs="Times New Roman"/>
          <w:b/>
          <w:bCs/>
          <w:sz w:val="28"/>
          <w:lang w:val="en-US"/>
        </w:rPr>
      </w:pPr>
    </w:p>
    <w:p w14:paraId="216D0DEB" w14:textId="77777777" w:rsidR="00097691" w:rsidRDefault="00097691" w:rsidP="005A0F56">
      <w:pPr>
        <w:rPr>
          <w:rFonts w:ascii="Times New Roman" w:hAnsi="Times New Roman" w:cs="Times New Roman"/>
          <w:b/>
          <w:bCs/>
          <w:sz w:val="28"/>
          <w:lang w:val="en-US"/>
        </w:rPr>
      </w:pPr>
    </w:p>
    <w:p w14:paraId="0FEAC694" w14:textId="77777777" w:rsidR="00097691" w:rsidRDefault="00097691" w:rsidP="005A0F56">
      <w:pPr>
        <w:rPr>
          <w:rFonts w:ascii="Times New Roman" w:hAnsi="Times New Roman" w:cs="Times New Roman"/>
          <w:b/>
          <w:bCs/>
          <w:sz w:val="28"/>
          <w:lang w:val="en-US"/>
        </w:rPr>
      </w:pPr>
    </w:p>
    <w:p w14:paraId="357123BE" w14:textId="77777777" w:rsidR="00097691" w:rsidRDefault="00097691" w:rsidP="005A0F56">
      <w:pPr>
        <w:rPr>
          <w:rFonts w:ascii="Times New Roman" w:hAnsi="Times New Roman" w:cs="Times New Roman"/>
          <w:b/>
          <w:bCs/>
          <w:sz w:val="28"/>
          <w:lang w:val="en-US"/>
        </w:rPr>
      </w:pPr>
    </w:p>
    <w:p w14:paraId="346CFBF1" w14:textId="77777777" w:rsidR="00097691" w:rsidRDefault="00097691" w:rsidP="005A0F56">
      <w:pPr>
        <w:rPr>
          <w:rFonts w:ascii="Times New Roman" w:hAnsi="Times New Roman" w:cs="Times New Roman"/>
          <w:b/>
          <w:bCs/>
          <w:sz w:val="28"/>
          <w:lang w:val="en-US"/>
        </w:rPr>
      </w:pPr>
    </w:p>
    <w:p w14:paraId="233929F8" w14:textId="77777777" w:rsidR="00097691" w:rsidRDefault="00097691" w:rsidP="005A0F56">
      <w:pPr>
        <w:rPr>
          <w:rFonts w:ascii="Times New Roman" w:hAnsi="Times New Roman" w:cs="Times New Roman"/>
          <w:b/>
          <w:bCs/>
          <w:sz w:val="28"/>
          <w:lang w:val="en-US"/>
        </w:rPr>
      </w:pPr>
    </w:p>
    <w:p w14:paraId="6C013BE9" w14:textId="77777777" w:rsidR="00097691" w:rsidRDefault="00097691" w:rsidP="005A0F56">
      <w:pPr>
        <w:rPr>
          <w:rFonts w:ascii="Times New Roman" w:hAnsi="Times New Roman" w:cs="Times New Roman"/>
          <w:b/>
          <w:bCs/>
          <w:sz w:val="28"/>
          <w:lang w:val="en-US"/>
        </w:rPr>
      </w:pPr>
    </w:p>
    <w:p w14:paraId="689DED4C" w14:textId="5534F754" w:rsidR="005A0F56" w:rsidRDefault="005A0F56" w:rsidP="005A0F56">
      <w:pPr>
        <w:rPr>
          <w:rFonts w:ascii="Times New Roman" w:hAnsi="Times New Roman" w:cs="Times New Roman"/>
          <w:b/>
          <w:bCs/>
          <w:sz w:val="28"/>
          <w:lang w:val="en-US"/>
        </w:rPr>
      </w:pPr>
      <w:r>
        <w:rPr>
          <w:rFonts w:ascii="Times New Roman" w:hAnsi="Times New Roman" w:cs="Times New Roman"/>
          <w:b/>
          <w:bCs/>
          <w:sz w:val="28"/>
          <w:lang w:val="en-US"/>
        </w:rPr>
        <w:lastRenderedPageBreak/>
        <w:t>INTRODUCTION</w:t>
      </w:r>
    </w:p>
    <w:p w14:paraId="382FC1E8" w14:textId="66A8B68C" w:rsidR="008C4A3D" w:rsidRDefault="000575AA" w:rsidP="000575AA">
      <w:pPr>
        <w:rPr>
          <w:rFonts w:ascii="Times New Roman" w:hAnsi="Times New Roman" w:cs="Times New Roman"/>
        </w:rPr>
      </w:pPr>
      <w:r w:rsidRPr="000575AA">
        <w:rPr>
          <w:rFonts w:ascii="Times New Roman" w:hAnsi="Times New Roman" w:cs="Times New Roman"/>
        </w:rPr>
        <w:t>This project delivers an advanced framework for optimal portfolio management focused exclusively on the Toronto Stock Exchange (TSX) through state-of-the-art reinforcement learning techniques. By leveraging comprehensive TSX market data from Yahoo Finance, our system implements a dual-algorithm approach: Proximal Policy Optimization (PPO) for strategic portfolio allocation and Soft Actor-Critic (SAC) for sophisticated risk management.</w:t>
      </w:r>
      <w:r>
        <w:rPr>
          <w:rFonts w:ascii="Times New Roman" w:hAnsi="Times New Roman" w:cs="Times New Roman"/>
        </w:rPr>
        <w:t xml:space="preserve"> </w:t>
      </w:r>
      <w:r w:rsidRPr="000575AA">
        <w:rPr>
          <w:rFonts w:ascii="Times New Roman" w:hAnsi="Times New Roman" w:cs="Times New Roman"/>
        </w:rPr>
        <w:t>The integration of these complementary algorithms creates a robust trading system specifically optimized for Canadian market conditions, dynamically balancing profit maximization with risk minimization.</w:t>
      </w:r>
      <w:r>
        <w:rPr>
          <w:rFonts w:ascii="Times New Roman" w:hAnsi="Times New Roman" w:cs="Times New Roman"/>
        </w:rPr>
        <w:t xml:space="preserve"> </w:t>
      </w:r>
      <w:r w:rsidRPr="000575AA">
        <w:rPr>
          <w:rFonts w:ascii="Times New Roman" w:hAnsi="Times New Roman" w:cs="Times New Roman"/>
        </w:rPr>
        <w:t>This tool represents a significant advancement for investors seeking enhanced returns while maintaining disciplined risk management specifically in the Toronto Stock Exchange.</w:t>
      </w:r>
    </w:p>
    <w:p w14:paraId="5270303C" w14:textId="77777777" w:rsidR="00097691" w:rsidRDefault="00097691" w:rsidP="000575AA">
      <w:pPr>
        <w:rPr>
          <w:rFonts w:ascii="Times New Roman" w:hAnsi="Times New Roman" w:cs="Times New Roman"/>
          <w:b/>
          <w:bCs/>
          <w:sz w:val="28"/>
        </w:rPr>
      </w:pPr>
    </w:p>
    <w:p w14:paraId="69ADF2DD" w14:textId="06645727" w:rsidR="008C4A3D" w:rsidRPr="008C4A3D" w:rsidRDefault="008C4A3D" w:rsidP="000575AA">
      <w:pPr>
        <w:rPr>
          <w:rFonts w:ascii="Times New Roman" w:hAnsi="Times New Roman" w:cs="Times New Roman"/>
          <w:b/>
          <w:bCs/>
          <w:sz w:val="28"/>
        </w:rPr>
      </w:pPr>
      <w:r w:rsidRPr="008C4A3D">
        <w:rPr>
          <w:rFonts w:ascii="Times New Roman" w:hAnsi="Times New Roman" w:cs="Times New Roman"/>
          <w:b/>
          <w:bCs/>
          <w:sz w:val="28"/>
        </w:rPr>
        <w:t>INDUSTRY</w:t>
      </w:r>
    </w:p>
    <w:p w14:paraId="4A49A024" w14:textId="77777777" w:rsidR="008C4A3D" w:rsidRPr="008C4A3D" w:rsidRDefault="008C4A3D" w:rsidP="008C4A3D">
      <w:pPr>
        <w:rPr>
          <w:rFonts w:ascii="Times New Roman" w:hAnsi="Times New Roman" w:cs="Times New Roman"/>
        </w:rPr>
      </w:pPr>
      <w:r w:rsidRPr="008C4A3D">
        <w:rPr>
          <w:rFonts w:ascii="Times New Roman" w:hAnsi="Times New Roman" w:cs="Times New Roman"/>
        </w:rPr>
        <w:t>The stock market serves as a vital platform where investors can purchase and sell shares of publicly traded companies, acquiring partial ownership and generating returns through dividends or capital appreciation. This project specifically targets the Toronto Stock Exchange (TSX), Canada's premier equity market and a significant global financial hub. Ranked as the 10th largest exchange worldwide and 3rd largest in North America by market capitalization, the TSX represents a substantial yet often underutilized opportunity for algorithmic trading strategies.</w:t>
      </w:r>
    </w:p>
    <w:p w14:paraId="7988F2CE" w14:textId="717015B0" w:rsidR="00032550" w:rsidRPr="00097691" w:rsidRDefault="008C4A3D" w:rsidP="00032550">
      <w:pPr>
        <w:rPr>
          <w:rFonts w:ascii="Times New Roman" w:hAnsi="Times New Roman" w:cs="Times New Roman"/>
        </w:rPr>
      </w:pPr>
      <w:r w:rsidRPr="008C4A3D">
        <w:rPr>
          <w:rFonts w:ascii="Times New Roman" w:hAnsi="Times New Roman" w:cs="Times New Roman"/>
        </w:rPr>
        <w:t>As of January 2024, the TSX hosted 1,811 listed companies spanning diverse sectors of the Canadian economy. Our comprehensive dataset encompasses 1,631 of these listings, providing broad market coverage for our reinforcement learning models. The exchange features prominent companies across key sectors including energy, financial services, industrials, and natural resources that form the backbone of the Canadian economy.</w:t>
      </w:r>
    </w:p>
    <w:p w14:paraId="3CD5AE33" w14:textId="5A5E950D" w:rsidR="00032550" w:rsidRPr="00097691" w:rsidRDefault="00032550" w:rsidP="00032550">
      <w:pPr>
        <w:rPr>
          <w:rFonts w:ascii="Times New Roman" w:hAnsi="Times New Roman" w:cs="Times New Roman"/>
        </w:rPr>
      </w:pPr>
      <w:r w:rsidRPr="00097691">
        <w:rPr>
          <w:rFonts w:ascii="Times New Roman" w:hAnsi="Times New Roman" w:cs="Times New Roman"/>
        </w:rPr>
        <w:t>Key TSX Components in Our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8"/>
        <w:gridCol w:w="3799"/>
        <w:gridCol w:w="1847"/>
        <w:gridCol w:w="1975"/>
      </w:tblGrid>
      <w:tr w:rsidR="00032550" w:rsidRPr="008C4A3D" w14:paraId="49DB1CD7" w14:textId="77777777" w:rsidTr="00CD6028">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88B8EF" w14:textId="77777777" w:rsidR="00032550" w:rsidRPr="008C4A3D" w:rsidRDefault="00032550" w:rsidP="00CD6028">
            <w:pPr>
              <w:rPr>
                <w:rFonts w:ascii="Times New Roman" w:hAnsi="Times New Roman" w:cs="Times New Roman"/>
                <w:b/>
                <w:bCs/>
              </w:rPr>
            </w:pPr>
            <w:r w:rsidRPr="008C4A3D">
              <w:rPr>
                <w:rFonts w:ascii="Times New Roman" w:hAnsi="Times New Roman" w:cs="Times New Roman"/>
                <w:b/>
                <w:bCs/>
              </w:rPr>
              <w:t>Ticker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42BA3EE" w14:textId="77777777" w:rsidR="00032550" w:rsidRPr="008C4A3D" w:rsidRDefault="00032550" w:rsidP="00CD6028">
            <w:pPr>
              <w:rPr>
                <w:rFonts w:ascii="Times New Roman" w:hAnsi="Times New Roman" w:cs="Times New Roman"/>
                <w:b/>
                <w:bCs/>
              </w:rPr>
            </w:pPr>
            <w:r w:rsidRPr="008C4A3D">
              <w:rPr>
                <w:rFonts w:ascii="Times New Roman" w:hAnsi="Times New Roman" w:cs="Times New Roman"/>
                <w:b/>
                <w:bCs/>
              </w:rPr>
              <w:t>Company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CCC16" w14:textId="77777777" w:rsidR="00032550" w:rsidRPr="008C4A3D" w:rsidRDefault="00032550" w:rsidP="00CD6028">
            <w:pPr>
              <w:rPr>
                <w:rFonts w:ascii="Times New Roman" w:hAnsi="Times New Roman" w:cs="Times New Roman"/>
                <w:b/>
                <w:bCs/>
              </w:rPr>
            </w:pPr>
            <w:r w:rsidRPr="008C4A3D">
              <w:rPr>
                <w:rFonts w:ascii="Times New Roman" w:hAnsi="Times New Roman" w:cs="Times New Roman"/>
                <w:b/>
                <w:bCs/>
              </w:rPr>
              <w:t>Sector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1C6E2DAE" w14:textId="77777777" w:rsidR="00032550" w:rsidRPr="008C4A3D" w:rsidRDefault="00032550" w:rsidP="00CD6028">
            <w:pPr>
              <w:rPr>
                <w:rFonts w:ascii="Times New Roman" w:hAnsi="Times New Roman" w:cs="Times New Roman"/>
                <w:b/>
                <w:bCs/>
              </w:rPr>
            </w:pPr>
            <w:r w:rsidRPr="008C4A3D">
              <w:rPr>
                <w:rFonts w:ascii="Times New Roman" w:hAnsi="Times New Roman" w:cs="Times New Roman"/>
                <w:b/>
                <w:bCs/>
              </w:rPr>
              <w:t>Industry</w:t>
            </w:r>
          </w:p>
        </w:tc>
      </w:tr>
      <w:tr w:rsidR="00032550" w:rsidRPr="008C4A3D" w14:paraId="11360664"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EE3985"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CNQ.TO</w:t>
            </w:r>
          </w:p>
        </w:tc>
        <w:tc>
          <w:tcPr>
            <w:tcW w:w="0" w:type="auto"/>
            <w:tcBorders>
              <w:top w:val="single" w:sz="4" w:space="0" w:color="auto"/>
              <w:left w:val="single" w:sz="4" w:space="0" w:color="auto"/>
              <w:bottom w:val="single" w:sz="4" w:space="0" w:color="auto"/>
              <w:right w:val="single" w:sz="4" w:space="0" w:color="auto"/>
            </w:tcBorders>
            <w:vAlign w:val="center"/>
            <w:hideMark/>
          </w:tcPr>
          <w:p w14:paraId="4F21A637"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Canadian Natural Resources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8F27268"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Energy</w:t>
            </w:r>
          </w:p>
        </w:tc>
        <w:tc>
          <w:tcPr>
            <w:tcW w:w="0" w:type="auto"/>
            <w:tcBorders>
              <w:top w:val="single" w:sz="4" w:space="0" w:color="auto"/>
              <w:left w:val="single" w:sz="4" w:space="0" w:color="auto"/>
              <w:bottom w:val="single" w:sz="4" w:space="0" w:color="auto"/>
              <w:right w:val="single" w:sz="4" w:space="0" w:color="auto"/>
            </w:tcBorders>
            <w:vAlign w:val="center"/>
            <w:hideMark/>
          </w:tcPr>
          <w:p w14:paraId="681BE53B"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Oil &amp; Gas E&amp;P</w:t>
            </w:r>
          </w:p>
        </w:tc>
      </w:tr>
      <w:tr w:rsidR="00032550" w:rsidRPr="008C4A3D" w14:paraId="408D9075"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09FEAC4"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BMO.TO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1FE4322"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Bank of Montreal</w:t>
            </w:r>
          </w:p>
        </w:tc>
        <w:tc>
          <w:tcPr>
            <w:tcW w:w="0" w:type="auto"/>
            <w:tcBorders>
              <w:top w:val="single" w:sz="4" w:space="0" w:color="auto"/>
              <w:left w:val="single" w:sz="4" w:space="0" w:color="auto"/>
              <w:bottom w:val="single" w:sz="4" w:space="0" w:color="auto"/>
              <w:right w:val="single" w:sz="4" w:space="0" w:color="auto"/>
            </w:tcBorders>
            <w:vAlign w:val="center"/>
            <w:hideMark/>
          </w:tcPr>
          <w:p w14:paraId="426258B3"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Financial Services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1F1B3DA"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Banks - Diversified</w:t>
            </w:r>
          </w:p>
        </w:tc>
      </w:tr>
      <w:tr w:rsidR="00032550" w:rsidRPr="008C4A3D" w14:paraId="39ECA0D1"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EB9F50"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CM.TO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74B8C7E"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Canadian Imperial Bank of Commerce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97BBD"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Financial Services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ECE3D1"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Banks - Diversified</w:t>
            </w:r>
          </w:p>
        </w:tc>
      </w:tr>
      <w:tr w:rsidR="00032550" w:rsidRPr="008C4A3D" w14:paraId="4FCBC8E4"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E24E3D"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CNR.TO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5E04B9C"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Canadian National Railway Co.</w:t>
            </w:r>
          </w:p>
        </w:tc>
        <w:tc>
          <w:tcPr>
            <w:tcW w:w="0" w:type="auto"/>
            <w:tcBorders>
              <w:top w:val="single" w:sz="4" w:space="0" w:color="auto"/>
              <w:left w:val="single" w:sz="4" w:space="0" w:color="auto"/>
              <w:bottom w:val="single" w:sz="4" w:space="0" w:color="auto"/>
              <w:right w:val="single" w:sz="4" w:space="0" w:color="auto"/>
            </w:tcBorders>
            <w:vAlign w:val="center"/>
            <w:hideMark/>
          </w:tcPr>
          <w:p w14:paraId="58C16428"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Industrials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0E2C2D1F"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Railroads</w:t>
            </w:r>
          </w:p>
        </w:tc>
      </w:tr>
      <w:tr w:rsidR="00032550" w:rsidRPr="008C4A3D" w14:paraId="025B0F12"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E6A95F"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ABX.TO</w:t>
            </w:r>
          </w:p>
        </w:tc>
        <w:tc>
          <w:tcPr>
            <w:tcW w:w="0" w:type="auto"/>
            <w:tcBorders>
              <w:top w:val="single" w:sz="4" w:space="0" w:color="auto"/>
              <w:left w:val="single" w:sz="4" w:space="0" w:color="auto"/>
              <w:bottom w:val="single" w:sz="4" w:space="0" w:color="auto"/>
              <w:right w:val="single" w:sz="4" w:space="0" w:color="auto"/>
            </w:tcBorders>
            <w:vAlign w:val="center"/>
            <w:hideMark/>
          </w:tcPr>
          <w:p w14:paraId="46FC737C"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Barrick Gold Corporation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DE72AF2"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Basic Materials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08676A06"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Gold</w:t>
            </w:r>
          </w:p>
        </w:tc>
      </w:tr>
      <w:tr w:rsidR="00032550" w:rsidRPr="008C4A3D" w14:paraId="238BE38F" w14:textId="77777777" w:rsidTr="00CD602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A5DE36D"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BNS.TO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EEACE26"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Bank of Nova Scotia</w:t>
            </w:r>
          </w:p>
        </w:tc>
        <w:tc>
          <w:tcPr>
            <w:tcW w:w="0" w:type="auto"/>
            <w:tcBorders>
              <w:top w:val="single" w:sz="4" w:space="0" w:color="auto"/>
              <w:left w:val="single" w:sz="4" w:space="0" w:color="auto"/>
              <w:bottom w:val="single" w:sz="4" w:space="0" w:color="auto"/>
              <w:right w:val="single" w:sz="4" w:space="0" w:color="auto"/>
            </w:tcBorders>
            <w:vAlign w:val="center"/>
            <w:hideMark/>
          </w:tcPr>
          <w:p w14:paraId="10F37AD3"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Financial Services</w:t>
            </w:r>
          </w:p>
        </w:tc>
        <w:tc>
          <w:tcPr>
            <w:tcW w:w="0" w:type="auto"/>
            <w:tcBorders>
              <w:top w:val="single" w:sz="4" w:space="0" w:color="auto"/>
              <w:left w:val="single" w:sz="4" w:space="0" w:color="auto"/>
              <w:bottom w:val="single" w:sz="4" w:space="0" w:color="auto"/>
              <w:right w:val="single" w:sz="4" w:space="0" w:color="auto"/>
            </w:tcBorders>
            <w:vAlign w:val="center"/>
            <w:hideMark/>
          </w:tcPr>
          <w:p w14:paraId="67BB9D3C" w14:textId="77777777" w:rsidR="00032550" w:rsidRPr="008C4A3D" w:rsidRDefault="00032550" w:rsidP="00CD6028">
            <w:pPr>
              <w:rPr>
                <w:rFonts w:ascii="Times New Roman" w:hAnsi="Times New Roman" w:cs="Times New Roman"/>
              </w:rPr>
            </w:pPr>
            <w:r w:rsidRPr="008C4A3D">
              <w:rPr>
                <w:rFonts w:ascii="Times New Roman" w:hAnsi="Times New Roman" w:cs="Times New Roman"/>
              </w:rPr>
              <w:t>Banks - Diversified</w:t>
            </w:r>
          </w:p>
        </w:tc>
      </w:tr>
    </w:tbl>
    <w:p w14:paraId="073CA6BF" w14:textId="77777777" w:rsidR="00032550" w:rsidRDefault="00032550" w:rsidP="008C4A3D">
      <w:pPr>
        <w:rPr>
          <w:rFonts w:ascii="Times New Roman" w:hAnsi="Times New Roman" w:cs="Times New Roman"/>
        </w:rPr>
      </w:pPr>
    </w:p>
    <w:p w14:paraId="33612A14" w14:textId="77777777" w:rsidR="00FA01B5" w:rsidRDefault="00FA01B5" w:rsidP="008C4A3D">
      <w:pPr>
        <w:rPr>
          <w:rFonts w:ascii="Times New Roman" w:hAnsi="Times New Roman" w:cs="Times New Roman"/>
        </w:rPr>
      </w:pPr>
    </w:p>
    <w:p w14:paraId="340CA434" w14:textId="42C835BB" w:rsidR="00FA01B5" w:rsidRDefault="00FA01B5" w:rsidP="008C4A3D">
      <w:pPr>
        <w:rPr>
          <w:rFonts w:ascii="Times New Roman" w:hAnsi="Times New Roman" w:cs="Times New Roman"/>
          <w:b/>
          <w:sz w:val="28"/>
        </w:rPr>
      </w:pPr>
      <w:r>
        <w:rPr>
          <w:rFonts w:ascii="Times New Roman" w:hAnsi="Times New Roman" w:cs="Times New Roman"/>
          <w:b/>
          <w:sz w:val="28"/>
        </w:rPr>
        <w:t>DEFINING THE PROBLEMS</w:t>
      </w:r>
    </w:p>
    <w:p w14:paraId="37E26DBC" w14:textId="15D7B5EF" w:rsidR="00032550" w:rsidRDefault="00FA01B5" w:rsidP="00FA01B5">
      <w:pPr>
        <w:rPr>
          <w:rFonts w:ascii="Times New Roman" w:hAnsi="Times New Roman" w:cs="Times New Roman"/>
        </w:rPr>
      </w:pPr>
      <w:r w:rsidRPr="00FA01B5">
        <w:rPr>
          <w:rFonts w:ascii="Times New Roman" w:hAnsi="Times New Roman" w:cs="Times New Roman"/>
        </w:rPr>
        <w:t>Individual investors face numerous challenges when managing stock portfolios that sophisticated institutional investors can overcome with advanced technologies and expertise.</w:t>
      </w:r>
    </w:p>
    <w:p w14:paraId="0FC0EB4F" w14:textId="77777777" w:rsidR="00032550" w:rsidRPr="00097691" w:rsidRDefault="00032550" w:rsidP="00FA01B5">
      <w:pPr>
        <w:rPr>
          <w:rFonts w:ascii="Times New Roman" w:hAnsi="Times New Roman" w:cs="Times New Roman"/>
        </w:rPr>
      </w:pPr>
      <w:r w:rsidRPr="00097691">
        <w:rPr>
          <w:rFonts w:ascii="Times New Roman" w:hAnsi="Times New Roman" w:cs="Times New Roman"/>
        </w:rPr>
        <w:t>KNOWLEDGE AND EXPERTISE GAP</w:t>
      </w:r>
    </w:p>
    <w:p w14:paraId="4E4D6892" w14:textId="53E4E8B9" w:rsidR="00032550" w:rsidRPr="00032550" w:rsidRDefault="00032550" w:rsidP="00FA01B5">
      <w:pPr>
        <w:rPr>
          <w:rFonts w:ascii="Times New Roman" w:hAnsi="Times New Roman" w:cs="Times New Roman"/>
          <w:b/>
          <w:bCs/>
        </w:rPr>
      </w:pPr>
      <w:r w:rsidRPr="00032550">
        <w:rPr>
          <w:rFonts w:ascii="Times New Roman" w:hAnsi="Times New Roman" w:cs="Times New Roman"/>
        </w:rPr>
        <w:t>Most retail investors possess limited understanding of the statistical methods required for true portfolio optimization. They struggle to build complex risk models, lack expertise in advanced technical analysis, and find it difficult to incorporate broader macroeconomic factors into their investment decisions.</w:t>
      </w:r>
    </w:p>
    <w:p w14:paraId="42F172CB" w14:textId="111F9A69" w:rsidR="00032550" w:rsidRPr="00097691" w:rsidRDefault="00032550" w:rsidP="00FA01B5">
      <w:pPr>
        <w:rPr>
          <w:rFonts w:ascii="Times New Roman" w:hAnsi="Times New Roman" w:cs="Times New Roman"/>
        </w:rPr>
      </w:pPr>
      <w:r w:rsidRPr="00097691">
        <w:rPr>
          <w:rFonts w:ascii="Times New Roman" w:hAnsi="Times New Roman" w:cs="Times New Roman"/>
        </w:rPr>
        <w:t>INFORMATION OVERLOAD</w:t>
      </w:r>
    </w:p>
    <w:p w14:paraId="5904C77A" w14:textId="539B375B" w:rsidR="00032550" w:rsidRDefault="00032550" w:rsidP="00FA01B5">
      <w:pPr>
        <w:rPr>
          <w:rFonts w:ascii="Times New Roman" w:hAnsi="Times New Roman" w:cs="Times New Roman"/>
        </w:rPr>
      </w:pPr>
      <w:r w:rsidRPr="00032550">
        <w:rPr>
          <w:rFonts w:ascii="Times New Roman" w:hAnsi="Times New Roman" w:cs="Times New Roman"/>
        </w:rPr>
        <w:t xml:space="preserve">Individual investors today face an overwhelming deluge of financial information that makes effective portfolio management exceedingly difficult. The modern investor must somehow process data on thousands of potential investments, interpret complex technical indicators like RSI and MACD, integrate breaking market news, and </w:t>
      </w:r>
      <w:r w:rsidRPr="00032550">
        <w:rPr>
          <w:rFonts w:ascii="Times New Roman" w:hAnsi="Times New Roman" w:cs="Times New Roman"/>
        </w:rPr>
        <w:t>analyse</w:t>
      </w:r>
      <w:r w:rsidRPr="00032550">
        <w:rPr>
          <w:rFonts w:ascii="Times New Roman" w:hAnsi="Times New Roman" w:cs="Times New Roman"/>
        </w:rPr>
        <w:t xml:space="preserve"> intricate corporate financial statements - all simultaneously and continuously. This cognitive burden alone creates a significant barrier to effective decision-making</w:t>
      </w:r>
      <w:r>
        <w:rPr>
          <w:rFonts w:ascii="Times New Roman" w:hAnsi="Times New Roman" w:cs="Times New Roman"/>
        </w:rPr>
        <w:t>.</w:t>
      </w:r>
    </w:p>
    <w:p w14:paraId="27E621C5" w14:textId="75217053" w:rsidR="00032550" w:rsidRPr="00097691" w:rsidRDefault="00032550" w:rsidP="00FA01B5">
      <w:pPr>
        <w:rPr>
          <w:rFonts w:ascii="Times New Roman" w:hAnsi="Times New Roman" w:cs="Times New Roman"/>
        </w:rPr>
      </w:pPr>
      <w:r w:rsidRPr="00097691">
        <w:rPr>
          <w:rFonts w:ascii="Times New Roman" w:hAnsi="Times New Roman" w:cs="Times New Roman"/>
        </w:rPr>
        <w:t>BAISES IN INVESTMENT DECISIONS</w:t>
      </w:r>
    </w:p>
    <w:p w14:paraId="11E61E9C" w14:textId="13B3DDC8" w:rsidR="00032550" w:rsidRDefault="00032550" w:rsidP="00FA01B5">
      <w:pPr>
        <w:rPr>
          <w:rFonts w:ascii="Times New Roman" w:hAnsi="Times New Roman" w:cs="Times New Roman"/>
        </w:rPr>
      </w:pPr>
      <w:r w:rsidRPr="00032550">
        <w:rPr>
          <w:rFonts w:ascii="Times New Roman" w:hAnsi="Times New Roman" w:cs="Times New Roman"/>
        </w:rPr>
        <w:t>Investors routinely exhibit recency bias, giving too much weight to recent market events while ignoring longer-term patterns. Confirmation bias leads them to seek information that validates their existing investment theses while disregarding contradictory evidence.</w:t>
      </w:r>
    </w:p>
    <w:p w14:paraId="6E938190" w14:textId="301738C0" w:rsidR="00032550" w:rsidRPr="00097691" w:rsidRDefault="00032550" w:rsidP="00FA01B5">
      <w:pPr>
        <w:rPr>
          <w:rFonts w:ascii="Times New Roman" w:hAnsi="Times New Roman" w:cs="Times New Roman"/>
        </w:rPr>
      </w:pPr>
      <w:r w:rsidRPr="00097691">
        <w:rPr>
          <w:rFonts w:ascii="Times New Roman" w:hAnsi="Times New Roman" w:cs="Times New Roman"/>
        </w:rPr>
        <w:t>RISK PRECEPTION CHALLENGES</w:t>
      </w:r>
    </w:p>
    <w:p w14:paraId="530DC8F2" w14:textId="4F48DF68" w:rsidR="00032550" w:rsidRDefault="00032550" w:rsidP="00FA01B5">
      <w:pPr>
        <w:rPr>
          <w:rFonts w:ascii="Times New Roman" w:hAnsi="Times New Roman" w:cs="Times New Roman"/>
        </w:rPr>
      </w:pPr>
      <w:r w:rsidRPr="00032550">
        <w:rPr>
          <w:rFonts w:ascii="Times New Roman" w:hAnsi="Times New Roman" w:cs="Times New Roman"/>
        </w:rPr>
        <w:t>Most retail investors struggle to accurately quantify expected market volatility and fail to align their actual risk tolerance with their portfolio construction. There's a pervasive blindness to tail risk - the probability and potential impact of extreme market events that occur more frequently than standard models predict. Investors also frequently misunderstand asset correlations, especially how seemingly diverse investments may become highly correlated during market stress, undermining diversification benefits precisely when they're most needed.</w:t>
      </w:r>
    </w:p>
    <w:p w14:paraId="2ABCE8F5" w14:textId="4CD2B26A" w:rsidR="00032550" w:rsidRPr="00097691" w:rsidRDefault="00032550" w:rsidP="00FA01B5">
      <w:pPr>
        <w:rPr>
          <w:rFonts w:ascii="Times New Roman" w:hAnsi="Times New Roman" w:cs="Times New Roman"/>
        </w:rPr>
      </w:pPr>
      <w:r w:rsidRPr="00097691">
        <w:rPr>
          <w:rFonts w:ascii="Times New Roman" w:hAnsi="Times New Roman" w:cs="Times New Roman"/>
        </w:rPr>
        <w:t>ASSEST SELECTION AND PORTFOLIO MANAGEMENT AND OPTIMIZATION</w:t>
      </w:r>
    </w:p>
    <w:p w14:paraId="450C0E82" w14:textId="0BEB2DFA" w:rsidR="00032550" w:rsidRDefault="00032550" w:rsidP="00FA01B5">
      <w:pPr>
        <w:rPr>
          <w:rFonts w:ascii="Times New Roman" w:hAnsi="Times New Roman" w:cs="Times New Roman"/>
        </w:rPr>
      </w:pPr>
      <w:r w:rsidRPr="00032550">
        <w:rPr>
          <w:rFonts w:ascii="Times New Roman" w:hAnsi="Times New Roman" w:cs="Times New Roman"/>
        </w:rPr>
        <w:t>Individual investors often select assets based on familiarity or recent performance rather than fundamental analysis, leading to suboptimal portfolios from the outset. They frequently struggle with diversification, either over-diversifying and diluting potential returns or under-diversifying and taking on excessive concentration risk.</w:t>
      </w:r>
      <w:r>
        <w:rPr>
          <w:rFonts w:ascii="Times New Roman" w:hAnsi="Times New Roman" w:cs="Times New Roman"/>
        </w:rPr>
        <w:t xml:space="preserve"> They also </w:t>
      </w:r>
      <w:r w:rsidRPr="00032550">
        <w:rPr>
          <w:rFonts w:ascii="Times New Roman" w:hAnsi="Times New Roman" w:cs="Times New Roman"/>
        </w:rPr>
        <w:t>tend to focus single-dimensionally on returns without properly accounting for risk. Rebalancing timing becomes a persistent question without clear answers, leading to either excessive trading or neglect of portfolio drift.</w:t>
      </w:r>
    </w:p>
    <w:p w14:paraId="733DACF0" w14:textId="77777777" w:rsidR="00097691" w:rsidRDefault="00097691" w:rsidP="00FA01B5">
      <w:pPr>
        <w:rPr>
          <w:rFonts w:ascii="Times New Roman" w:hAnsi="Times New Roman" w:cs="Times New Roman"/>
        </w:rPr>
      </w:pPr>
    </w:p>
    <w:p w14:paraId="7B4AA4DA" w14:textId="63F46C6E" w:rsidR="00032550" w:rsidRPr="00097691" w:rsidRDefault="00032550" w:rsidP="00FA01B5">
      <w:pPr>
        <w:rPr>
          <w:rFonts w:ascii="Times New Roman" w:hAnsi="Times New Roman" w:cs="Times New Roman"/>
        </w:rPr>
      </w:pPr>
      <w:r w:rsidRPr="00097691">
        <w:rPr>
          <w:rFonts w:ascii="Times New Roman" w:hAnsi="Times New Roman" w:cs="Times New Roman"/>
        </w:rPr>
        <w:lastRenderedPageBreak/>
        <w:t>TECHNOLOGICAL LIMITATIONS</w:t>
      </w:r>
    </w:p>
    <w:p w14:paraId="15A1A398" w14:textId="1EB3C61F" w:rsidR="00032550" w:rsidRPr="00FA01B5" w:rsidRDefault="00032550" w:rsidP="00FA01B5">
      <w:pPr>
        <w:rPr>
          <w:rFonts w:ascii="Times New Roman" w:hAnsi="Times New Roman" w:cs="Times New Roman"/>
        </w:rPr>
      </w:pPr>
      <w:r w:rsidRPr="00032550">
        <w:rPr>
          <w:rFonts w:ascii="Times New Roman" w:hAnsi="Times New Roman" w:cs="Times New Roman"/>
        </w:rPr>
        <w:t xml:space="preserve">Individual investors face significant technological disadvantages compared to institutional market participants. The computational constraints are substantial - retail investors lack the processing power to </w:t>
      </w:r>
      <w:r w:rsidRPr="00032550">
        <w:rPr>
          <w:rFonts w:ascii="Times New Roman" w:hAnsi="Times New Roman" w:cs="Times New Roman"/>
        </w:rPr>
        <w:t>analyse</w:t>
      </w:r>
      <w:r w:rsidRPr="00032550">
        <w:rPr>
          <w:rFonts w:ascii="Times New Roman" w:hAnsi="Times New Roman" w:cs="Times New Roman"/>
        </w:rPr>
        <w:t xml:space="preserve"> large market datasets, the capabilities to process information in real-time, access to sophisticated automated execution systems, and the ability to rigorously </w:t>
      </w:r>
      <w:r w:rsidRPr="00032550">
        <w:rPr>
          <w:rFonts w:ascii="Times New Roman" w:hAnsi="Times New Roman" w:cs="Times New Roman"/>
        </w:rPr>
        <w:t>back test</w:t>
      </w:r>
      <w:r w:rsidRPr="00032550">
        <w:rPr>
          <w:rFonts w:ascii="Times New Roman" w:hAnsi="Times New Roman" w:cs="Times New Roman"/>
        </w:rPr>
        <w:t xml:space="preserve"> strategies against historical data.</w:t>
      </w:r>
    </w:p>
    <w:p w14:paraId="79C43534" w14:textId="77777777" w:rsidR="00FA01B5" w:rsidRPr="00FA01B5" w:rsidRDefault="00FA01B5" w:rsidP="008C4A3D">
      <w:pPr>
        <w:rPr>
          <w:rFonts w:ascii="Times New Roman" w:hAnsi="Times New Roman" w:cs="Times New Roman"/>
          <w:b/>
        </w:rPr>
      </w:pPr>
    </w:p>
    <w:p w14:paraId="125B3E6A" w14:textId="77777777" w:rsidR="00FA01B5" w:rsidRPr="00FA01B5" w:rsidRDefault="00FA01B5" w:rsidP="008C4A3D">
      <w:pPr>
        <w:rPr>
          <w:rFonts w:ascii="Times New Roman" w:hAnsi="Times New Roman" w:cs="Times New Roman"/>
          <w:bCs/>
          <w:sz w:val="28"/>
        </w:rPr>
      </w:pPr>
    </w:p>
    <w:p w14:paraId="48A645A9" w14:textId="77777777" w:rsidR="008C4A3D" w:rsidRDefault="008C4A3D" w:rsidP="008C4A3D">
      <w:pPr>
        <w:rPr>
          <w:rFonts w:ascii="Times New Roman" w:hAnsi="Times New Roman" w:cs="Times New Roman"/>
        </w:rPr>
      </w:pPr>
    </w:p>
    <w:p w14:paraId="6AAC039F" w14:textId="77777777" w:rsidR="008C4A3D" w:rsidRDefault="008C4A3D" w:rsidP="008C4A3D">
      <w:pPr>
        <w:rPr>
          <w:rFonts w:ascii="Times New Roman" w:hAnsi="Times New Roman" w:cs="Times New Roman"/>
        </w:rPr>
      </w:pPr>
    </w:p>
    <w:p w14:paraId="665B8EC0" w14:textId="77777777" w:rsidR="008C4A3D" w:rsidRDefault="008C4A3D" w:rsidP="008C4A3D">
      <w:pPr>
        <w:rPr>
          <w:rFonts w:ascii="Times New Roman" w:hAnsi="Times New Roman" w:cs="Times New Roman"/>
        </w:rPr>
      </w:pPr>
    </w:p>
    <w:p w14:paraId="1420B3A5" w14:textId="77777777" w:rsidR="008C4A3D" w:rsidRDefault="008C4A3D" w:rsidP="008C4A3D">
      <w:pPr>
        <w:rPr>
          <w:rFonts w:ascii="Times New Roman" w:hAnsi="Times New Roman" w:cs="Times New Roman"/>
        </w:rPr>
      </w:pPr>
    </w:p>
    <w:p w14:paraId="044403B8" w14:textId="77777777" w:rsidR="008C4A3D" w:rsidRDefault="008C4A3D" w:rsidP="008C4A3D">
      <w:pPr>
        <w:rPr>
          <w:rFonts w:ascii="Times New Roman" w:hAnsi="Times New Roman" w:cs="Times New Roman"/>
        </w:rPr>
      </w:pPr>
    </w:p>
    <w:p w14:paraId="415F9194" w14:textId="77777777" w:rsidR="008C4A3D" w:rsidRPr="008C4A3D" w:rsidRDefault="008C4A3D" w:rsidP="008C4A3D">
      <w:pPr>
        <w:rPr>
          <w:rFonts w:ascii="Times New Roman" w:hAnsi="Times New Roman" w:cs="Times New Roman"/>
        </w:rPr>
      </w:pPr>
    </w:p>
    <w:p w14:paraId="30D23557" w14:textId="77777777" w:rsidR="000575AA" w:rsidRDefault="000575AA" w:rsidP="000575AA">
      <w:pPr>
        <w:rPr>
          <w:rFonts w:ascii="Times New Roman" w:hAnsi="Times New Roman" w:cs="Times New Roman"/>
        </w:rPr>
      </w:pPr>
    </w:p>
    <w:p w14:paraId="590881C1" w14:textId="77777777" w:rsidR="000575AA" w:rsidRDefault="000575AA" w:rsidP="000575AA">
      <w:pPr>
        <w:rPr>
          <w:rFonts w:ascii="Times New Roman" w:hAnsi="Times New Roman" w:cs="Times New Roman"/>
        </w:rPr>
      </w:pPr>
    </w:p>
    <w:p w14:paraId="13ED4084" w14:textId="0FD0B271" w:rsidR="000575AA" w:rsidRPr="000575AA" w:rsidRDefault="000575AA" w:rsidP="000575AA">
      <w:pPr>
        <w:rPr>
          <w:rFonts w:ascii="Times New Roman" w:hAnsi="Times New Roman" w:cs="Times New Roman"/>
        </w:rPr>
      </w:pPr>
      <w:r>
        <w:rPr>
          <w:rFonts w:ascii="Times New Roman" w:hAnsi="Times New Roman" w:cs="Times New Roman"/>
        </w:rPr>
        <w:tab/>
      </w:r>
    </w:p>
    <w:p w14:paraId="77982126" w14:textId="1D29DFD4" w:rsidR="005A0F56" w:rsidRPr="000575AA" w:rsidRDefault="005A0F56" w:rsidP="000575AA">
      <w:pPr>
        <w:rPr>
          <w:rFonts w:ascii="Times New Roman" w:hAnsi="Times New Roman" w:cs="Times New Roman"/>
          <w:lang w:val="en-US"/>
        </w:rPr>
      </w:pPr>
    </w:p>
    <w:sectPr w:rsidR="005A0F56" w:rsidRPr="000575A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F56"/>
    <w:rsid w:val="00032550"/>
    <w:rsid w:val="000575AA"/>
    <w:rsid w:val="00076736"/>
    <w:rsid w:val="00097691"/>
    <w:rsid w:val="005A0F56"/>
    <w:rsid w:val="008C4A3D"/>
    <w:rsid w:val="009135AB"/>
    <w:rsid w:val="00A124C3"/>
    <w:rsid w:val="00BC4F4F"/>
    <w:rsid w:val="00CF640F"/>
    <w:rsid w:val="00E62B1A"/>
    <w:rsid w:val="00FA01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449B7"/>
  <w15:chartTrackingRefBased/>
  <w15:docId w15:val="{3BD9D7C8-62C6-44E6-8691-589B0EE77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0F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0F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0F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0F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F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F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F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F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F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F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0F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0F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0F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F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F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F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F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F56"/>
    <w:rPr>
      <w:rFonts w:eastAsiaTheme="majorEastAsia" w:cstheme="majorBidi"/>
      <w:color w:val="272727" w:themeColor="text1" w:themeTint="D8"/>
    </w:rPr>
  </w:style>
  <w:style w:type="paragraph" w:styleId="Title">
    <w:name w:val="Title"/>
    <w:basedOn w:val="Normal"/>
    <w:next w:val="Normal"/>
    <w:link w:val="TitleChar"/>
    <w:uiPriority w:val="10"/>
    <w:qFormat/>
    <w:rsid w:val="005A0F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F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F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F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F56"/>
    <w:pPr>
      <w:spacing w:before="160"/>
      <w:jc w:val="center"/>
    </w:pPr>
    <w:rPr>
      <w:i/>
      <w:iCs/>
      <w:color w:val="404040" w:themeColor="text1" w:themeTint="BF"/>
    </w:rPr>
  </w:style>
  <w:style w:type="character" w:customStyle="1" w:styleId="QuoteChar">
    <w:name w:val="Quote Char"/>
    <w:basedOn w:val="DefaultParagraphFont"/>
    <w:link w:val="Quote"/>
    <w:uiPriority w:val="29"/>
    <w:rsid w:val="005A0F56"/>
    <w:rPr>
      <w:i/>
      <w:iCs/>
      <w:color w:val="404040" w:themeColor="text1" w:themeTint="BF"/>
    </w:rPr>
  </w:style>
  <w:style w:type="paragraph" w:styleId="ListParagraph">
    <w:name w:val="List Paragraph"/>
    <w:basedOn w:val="Normal"/>
    <w:uiPriority w:val="34"/>
    <w:qFormat/>
    <w:rsid w:val="005A0F56"/>
    <w:pPr>
      <w:ind w:left="720"/>
      <w:contextualSpacing/>
    </w:pPr>
  </w:style>
  <w:style w:type="character" w:styleId="IntenseEmphasis">
    <w:name w:val="Intense Emphasis"/>
    <w:basedOn w:val="DefaultParagraphFont"/>
    <w:uiPriority w:val="21"/>
    <w:qFormat/>
    <w:rsid w:val="005A0F56"/>
    <w:rPr>
      <w:i/>
      <w:iCs/>
      <w:color w:val="0F4761" w:themeColor="accent1" w:themeShade="BF"/>
    </w:rPr>
  </w:style>
  <w:style w:type="paragraph" w:styleId="IntenseQuote">
    <w:name w:val="Intense Quote"/>
    <w:basedOn w:val="Normal"/>
    <w:next w:val="Normal"/>
    <w:link w:val="IntenseQuoteChar"/>
    <w:uiPriority w:val="30"/>
    <w:qFormat/>
    <w:rsid w:val="005A0F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F56"/>
    <w:rPr>
      <w:i/>
      <w:iCs/>
      <w:color w:val="0F4761" w:themeColor="accent1" w:themeShade="BF"/>
    </w:rPr>
  </w:style>
  <w:style w:type="character" w:styleId="IntenseReference">
    <w:name w:val="Intense Reference"/>
    <w:basedOn w:val="DefaultParagraphFont"/>
    <w:uiPriority w:val="32"/>
    <w:qFormat/>
    <w:rsid w:val="005A0F56"/>
    <w:rPr>
      <w:b/>
      <w:bCs/>
      <w:smallCaps/>
      <w:color w:val="0F4761" w:themeColor="accent1" w:themeShade="BF"/>
      <w:spacing w:val="5"/>
    </w:rPr>
  </w:style>
  <w:style w:type="character" w:styleId="Hyperlink">
    <w:name w:val="Hyperlink"/>
    <w:basedOn w:val="DefaultParagraphFont"/>
    <w:uiPriority w:val="99"/>
    <w:unhideWhenUsed/>
    <w:rsid w:val="000575AA"/>
    <w:rPr>
      <w:color w:val="467886" w:themeColor="hyperlink"/>
      <w:u w:val="single"/>
    </w:rPr>
  </w:style>
  <w:style w:type="character" w:styleId="UnresolvedMention">
    <w:name w:val="Unresolved Mention"/>
    <w:basedOn w:val="DefaultParagraphFont"/>
    <w:uiPriority w:val="99"/>
    <w:semiHidden/>
    <w:unhideWhenUsed/>
    <w:rsid w:val="000575AA"/>
    <w:rPr>
      <w:color w:val="605E5C"/>
      <w:shd w:val="clear" w:color="auto" w:fill="E1DFDD"/>
    </w:rPr>
  </w:style>
  <w:style w:type="table" w:styleId="TableGrid">
    <w:name w:val="Table Grid"/>
    <w:basedOn w:val="TableNormal"/>
    <w:uiPriority w:val="39"/>
    <w:rsid w:val="008C4A3D"/>
    <w:pPr>
      <w:spacing w:after="0" w:line="240" w:lineRule="auto"/>
    </w:pPr>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5773">
      <w:bodyDiv w:val="1"/>
      <w:marLeft w:val="0"/>
      <w:marRight w:val="0"/>
      <w:marTop w:val="0"/>
      <w:marBottom w:val="0"/>
      <w:divBdr>
        <w:top w:val="none" w:sz="0" w:space="0" w:color="auto"/>
        <w:left w:val="none" w:sz="0" w:space="0" w:color="auto"/>
        <w:bottom w:val="none" w:sz="0" w:space="0" w:color="auto"/>
        <w:right w:val="none" w:sz="0" w:space="0" w:color="auto"/>
      </w:divBdr>
    </w:div>
    <w:div w:id="438912873">
      <w:bodyDiv w:val="1"/>
      <w:marLeft w:val="0"/>
      <w:marRight w:val="0"/>
      <w:marTop w:val="0"/>
      <w:marBottom w:val="0"/>
      <w:divBdr>
        <w:top w:val="none" w:sz="0" w:space="0" w:color="auto"/>
        <w:left w:val="none" w:sz="0" w:space="0" w:color="auto"/>
        <w:bottom w:val="none" w:sz="0" w:space="0" w:color="auto"/>
        <w:right w:val="none" w:sz="0" w:space="0" w:color="auto"/>
      </w:divBdr>
    </w:div>
    <w:div w:id="572935423">
      <w:bodyDiv w:val="1"/>
      <w:marLeft w:val="0"/>
      <w:marRight w:val="0"/>
      <w:marTop w:val="0"/>
      <w:marBottom w:val="0"/>
      <w:divBdr>
        <w:top w:val="none" w:sz="0" w:space="0" w:color="auto"/>
        <w:left w:val="none" w:sz="0" w:space="0" w:color="auto"/>
        <w:bottom w:val="none" w:sz="0" w:space="0" w:color="auto"/>
        <w:right w:val="none" w:sz="0" w:space="0" w:color="auto"/>
      </w:divBdr>
    </w:div>
    <w:div w:id="677737028">
      <w:bodyDiv w:val="1"/>
      <w:marLeft w:val="0"/>
      <w:marRight w:val="0"/>
      <w:marTop w:val="0"/>
      <w:marBottom w:val="0"/>
      <w:divBdr>
        <w:top w:val="none" w:sz="0" w:space="0" w:color="auto"/>
        <w:left w:val="none" w:sz="0" w:space="0" w:color="auto"/>
        <w:bottom w:val="none" w:sz="0" w:space="0" w:color="auto"/>
        <w:right w:val="none" w:sz="0" w:space="0" w:color="auto"/>
      </w:divBdr>
    </w:div>
    <w:div w:id="752506289">
      <w:bodyDiv w:val="1"/>
      <w:marLeft w:val="0"/>
      <w:marRight w:val="0"/>
      <w:marTop w:val="0"/>
      <w:marBottom w:val="0"/>
      <w:divBdr>
        <w:top w:val="none" w:sz="0" w:space="0" w:color="auto"/>
        <w:left w:val="none" w:sz="0" w:space="0" w:color="auto"/>
        <w:bottom w:val="none" w:sz="0" w:space="0" w:color="auto"/>
        <w:right w:val="none" w:sz="0" w:space="0" w:color="auto"/>
      </w:divBdr>
    </w:div>
    <w:div w:id="981926676">
      <w:bodyDiv w:val="1"/>
      <w:marLeft w:val="0"/>
      <w:marRight w:val="0"/>
      <w:marTop w:val="0"/>
      <w:marBottom w:val="0"/>
      <w:divBdr>
        <w:top w:val="none" w:sz="0" w:space="0" w:color="auto"/>
        <w:left w:val="none" w:sz="0" w:space="0" w:color="auto"/>
        <w:bottom w:val="none" w:sz="0" w:space="0" w:color="auto"/>
        <w:right w:val="none" w:sz="0" w:space="0" w:color="auto"/>
      </w:divBdr>
    </w:div>
    <w:div w:id="1125007626">
      <w:bodyDiv w:val="1"/>
      <w:marLeft w:val="0"/>
      <w:marRight w:val="0"/>
      <w:marTop w:val="0"/>
      <w:marBottom w:val="0"/>
      <w:divBdr>
        <w:top w:val="none" w:sz="0" w:space="0" w:color="auto"/>
        <w:left w:val="none" w:sz="0" w:space="0" w:color="auto"/>
        <w:bottom w:val="none" w:sz="0" w:space="0" w:color="auto"/>
        <w:right w:val="none" w:sz="0" w:space="0" w:color="auto"/>
      </w:divBdr>
    </w:div>
    <w:div w:id="119676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807</Words>
  <Characters>4601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Riyo Sebastian</dc:creator>
  <cp:keywords/>
  <dc:description/>
  <cp:lastModifiedBy>Riyo Sebastian</cp:lastModifiedBy>
  <cp:revision>2</cp:revision>
  <dcterms:created xsi:type="dcterms:W3CDTF">2025-04-04T08:58:00Z</dcterms:created>
  <dcterms:modified xsi:type="dcterms:W3CDTF">2025-04-04T08:58:00Z</dcterms:modified>
</cp:coreProperties>
</file>