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098DF" w14:textId="77777777" w:rsidR="00414A11" w:rsidRDefault="00414A11" w:rsidP="00414A11">
      <w:pPr>
        <w:jc w:val="center"/>
        <w:rPr>
          <w:rFonts w:ascii="Times New Roman" w:hAnsi="Times New Roman"/>
          <w:b/>
          <w:bCs/>
          <w:sz w:val="36"/>
          <w:lang w:val="en-US"/>
        </w:rPr>
      </w:pPr>
    </w:p>
    <w:p w14:paraId="138AE7C2" w14:textId="275E3E16" w:rsidR="005A0F56" w:rsidRPr="00097691" w:rsidRDefault="005A0F56" w:rsidP="00414A11">
      <w:pPr>
        <w:jc w:val="center"/>
        <w:rPr>
          <w:rFonts w:ascii="Times New Roman" w:hAnsi="Times New Roman"/>
          <w:b/>
          <w:bCs/>
          <w:sz w:val="36"/>
          <w:lang w:val="en-US"/>
        </w:rPr>
      </w:pPr>
      <w:r w:rsidRPr="005A0F56">
        <w:rPr>
          <w:rFonts w:ascii="Times New Roman" w:hAnsi="Times New Roman"/>
          <w:b/>
          <w:bCs/>
          <w:sz w:val="36"/>
          <w:lang w:val="en-US"/>
        </w:rPr>
        <w:t>Stock Portfolio Allocation &amp; Risk Management using Reinforcement Learning</w:t>
      </w:r>
    </w:p>
    <w:p w14:paraId="49E86D6E" w14:textId="77777777" w:rsidR="00097691" w:rsidRDefault="00097691" w:rsidP="00114739">
      <w:pPr>
        <w:jc w:val="both"/>
        <w:rPr>
          <w:rFonts w:ascii="Times New Roman" w:hAnsi="Times New Roman" w:cs="Times New Roman"/>
          <w:b/>
          <w:bCs/>
          <w:sz w:val="28"/>
          <w:lang w:val="en-US"/>
        </w:rPr>
      </w:pPr>
    </w:p>
    <w:p w14:paraId="6C013BE9" w14:textId="77777777" w:rsidR="00097691" w:rsidRDefault="00097691" w:rsidP="00114739">
      <w:pPr>
        <w:jc w:val="both"/>
        <w:rPr>
          <w:rFonts w:ascii="Times New Roman" w:hAnsi="Times New Roman" w:cs="Times New Roman"/>
          <w:b/>
          <w:bCs/>
          <w:sz w:val="28"/>
          <w:lang w:val="en-US"/>
        </w:rPr>
      </w:pPr>
    </w:p>
    <w:p w14:paraId="169302BD" w14:textId="64C6C925" w:rsidR="00414A11" w:rsidRPr="00414A11" w:rsidRDefault="00414A11" w:rsidP="00414A11">
      <w:pPr>
        <w:jc w:val="center"/>
        <w:rPr>
          <w:rFonts w:ascii="Times New Roman" w:hAnsi="Times New Roman" w:cs="Times New Roman"/>
          <w:b/>
          <w:bCs/>
          <w:sz w:val="28"/>
        </w:rPr>
      </w:pPr>
      <w:r w:rsidRPr="00414A11">
        <w:rPr>
          <w:rFonts w:ascii="Times New Roman" w:hAnsi="Times New Roman" w:cs="Times New Roman"/>
          <w:b/>
          <w:bCs/>
          <w:sz w:val="28"/>
        </w:rPr>
        <w:t>TEAM MEMBERS</w:t>
      </w:r>
    </w:p>
    <w:p w14:paraId="20DCD87D" w14:textId="77777777" w:rsidR="00414A11" w:rsidRDefault="00414A11" w:rsidP="00414A11">
      <w:pPr>
        <w:jc w:val="center"/>
        <w:rPr>
          <w:rFonts w:ascii="Times New Roman" w:hAnsi="Times New Roman" w:cs="Times New Roman"/>
          <w:b/>
          <w:bCs/>
        </w:rPr>
      </w:pPr>
    </w:p>
    <w:p w14:paraId="536A065B" w14:textId="77777777" w:rsidR="00414A11" w:rsidRPr="00414A11" w:rsidRDefault="00414A11" w:rsidP="00414A11">
      <w:pPr>
        <w:jc w:val="center"/>
        <w:rPr>
          <w:rFonts w:ascii="Times New Roman" w:hAnsi="Times New Roman" w:cs="Times New Roman"/>
          <w:b/>
          <w:bCs/>
          <w:sz w:val="22"/>
        </w:rPr>
      </w:pPr>
      <w:r w:rsidRPr="00414A11">
        <w:rPr>
          <w:rFonts w:ascii="Times New Roman" w:hAnsi="Times New Roman" w:cs="Times New Roman"/>
          <w:b/>
          <w:bCs/>
          <w:sz w:val="22"/>
        </w:rPr>
        <w:t>JOBINA JOY (C0924759)</w:t>
      </w:r>
    </w:p>
    <w:p w14:paraId="2582ADD2" w14:textId="77777777" w:rsidR="00414A11" w:rsidRPr="00414A11" w:rsidRDefault="00414A11" w:rsidP="00414A11">
      <w:pPr>
        <w:jc w:val="center"/>
        <w:rPr>
          <w:rFonts w:ascii="Times New Roman" w:hAnsi="Times New Roman" w:cs="Times New Roman"/>
          <w:b/>
          <w:bCs/>
          <w:sz w:val="22"/>
        </w:rPr>
      </w:pPr>
      <w:r w:rsidRPr="00414A11">
        <w:rPr>
          <w:rFonts w:ascii="Times New Roman" w:hAnsi="Times New Roman" w:cs="Times New Roman"/>
          <w:b/>
          <w:bCs/>
          <w:sz w:val="22"/>
        </w:rPr>
        <w:t>AKHIL AUGUSTINE (C0924980)</w:t>
      </w:r>
    </w:p>
    <w:p w14:paraId="2153262F" w14:textId="77777777" w:rsidR="00414A11" w:rsidRPr="00414A11" w:rsidRDefault="00414A11" w:rsidP="00414A11">
      <w:pPr>
        <w:jc w:val="center"/>
        <w:rPr>
          <w:rFonts w:ascii="Times New Roman" w:hAnsi="Times New Roman" w:cs="Times New Roman"/>
          <w:b/>
          <w:bCs/>
          <w:sz w:val="22"/>
        </w:rPr>
      </w:pPr>
      <w:r w:rsidRPr="00414A11">
        <w:rPr>
          <w:rFonts w:ascii="Times New Roman" w:hAnsi="Times New Roman" w:cs="Times New Roman"/>
          <w:b/>
          <w:bCs/>
          <w:sz w:val="22"/>
        </w:rPr>
        <w:t>ABHISHEK MUNGATH (C0928517)</w:t>
      </w:r>
    </w:p>
    <w:p w14:paraId="0DECAB33" w14:textId="77777777" w:rsidR="00414A11" w:rsidRPr="00414A11" w:rsidRDefault="00414A11" w:rsidP="00414A11">
      <w:pPr>
        <w:jc w:val="center"/>
        <w:rPr>
          <w:rFonts w:ascii="Times New Roman" w:hAnsi="Times New Roman" w:cs="Times New Roman"/>
          <w:b/>
          <w:bCs/>
          <w:sz w:val="22"/>
        </w:rPr>
      </w:pPr>
      <w:r w:rsidRPr="00414A11">
        <w:rPr>
          <w:rFonts w:ascii="Times New Roman" w:hAnsi="Times New Roman" w:cs="Times New Roman"/>
          <w:b/>
          <w:bCs/>
          <w:sz w:val="22"/>
        </w:rPr>
        <w:t>TARUN THOMAS SAMUEL (C0928591)</w:t>
      </w:r>
    </w:p>
    <w:p w14:paraId="4B707A00" w14:textId="77777777" w:rsidR="00414A11" w:rsidRPr="00414A11" w:rsidRDefault="00414A11" w:rsidP="00414A11">
      <w:pPr>
        <w:jc w:val="center"/>
        <w:rPr>
          <w:rFonts w:ascii="Times New Roman" w:hAnsi="Times New Roman" w:cs="Times New Roman"/>
          <w:b/>
          <w:bCs/>
          <w:sz w:val="22"/>
        </w:rPr>
      </w:pPr>
      <w:r w:rsidRPr="00414A11">
        <w:rPr>
          <w:rFonts w:ascii="Times New Roman" w:hAnsi="Times New Roman" w:cs="Times New Roman"/>
          <w:b/>
          <w:bCs/>
          <w:sz w:val="22"/>
        </w:rPr>
        <w:t>JEFFIN KOCHURANI RAVI (C0925106)</w:t>
      </w:r>
    </w:p>
    <w:p w14:paraId="35052DDD" w14:textId="77777777" w:rsidR="00414A11" w:rsidRPr="00414A11" w:rsidRDefault="00414A11" w:rsidP="00414A11">
      <w:pPr>
        <w:jc w:val="center"/>
        <w:rPr>
          <w:rFonts w:ascii="Times New Roman" w:hAnsi="Times New Roman" w:cs="Times New Roman"/>
          <w:b/>
          <w:bCs/>
          <w:sz w:val="22"/>
        </w:rPr>
      </w:pPr>
      <w:r w:rsidRPr="00414A11">
        <w:rPr>
          <w:rFonts w:ascii="Times New Roman" w:hAnsi="Times New Roman" w:cs="Times New Roman"/>
          <w:b/>
          <w:bCs/>
          <w:sz w:val="22"/>
        </w:rPr>
        <w:t>NIKHIL PREETHA MURALI (C0928366)</w:t>
      </w:r>
    </w:p>
    <w:p w14:paraId="22BD454A" w14:textId="77777777" w:rsidR="00414A11" w:rsidRPr="00414A11" w:rsidRDefault="00414A11" w:rsidP="00414A11">
      <w:pPr>
        <w:jc w:val="center"/>
        <w:rPr>
          <w:rFonts w:ascii="Times New Roman" w:hAnsi="Times New Roman" w:cs="Times New Roman"/>
          <w:b/>
          <w:bCs/>
          <w:sz w:val="22"/>
        </w:rPr>
      </w:pPr>
      <w:r w:rsidRPr="00414A11">
        <w:rPr>
          <w:rFonts w:ascii="Times New Roman" w:hAnsi="Times New Roman" w:cs="Times New Roman"/>
          <w:b/>
          <w:bCs/>
          <w:sz w:val="22"/>
        </w:rPr>
        <w:t>ANAND CHATHANANICKAL SAJEEVAN (C0928396)</w:t>
      </w:r>
    </w:p>
    <w:p w14:paraId="5217DEBB" w14:textId="77777777" w:rsidR="00414A11" w:rsidRPr="00414A11" w:rsidRDefault="00414A11" w:rsidP="00414A11">
      <w:pPr>
        <w:jc w:val="center"/>
        <w:rPr>
          <w:rFonts w:ascii="Times New Roman" w:hAnsi="Times New Roman" w:cs="Times New Roman"/>
          <w:b/>
          <w:bCs/>
          <w:sz w:val="22"/>
        </w:rPr>
      </w:pPr>
      <w:r w:rsidRPr="00414A11">
        <w:rPr>
          <w:rFonts w:ascii="Times New Roman" w:hAnsi="Times New Roman" w:cs="Times New Roman"/>
          <w:b/>
          <w:bCs/>
          <w:sz w:val="22"/>
        </w:rPr>
        <w:t>RIYO SEBASTIAN PALAKUNNEL SEBASTIAN (C0928670)</w:t>
      </w:r>
    </w:p>
    <w:p w14:paraId="57CC4454" w14:textId="76E33AF8" w:rsidR="00414A11" w:rsidRPr="00414A11" w:rsidRDefault="00414A11" w:rsidP="00414A11">
      <w:pPr>
        <w:jc w:val="center"/>
        <w:rPr>
          <w:rFonts w:ascii="Times New Roman" w:hAnsi="Times New Roman" w:cs="Times New Roman"/>
          <w:b/>
          <w:bCs/>
          <w:sz w:val="22"/>
        </w:rPr>
      </w:pPr>
      <w:r w:rsidRPr="00414A11">
        <w:rPr>
          <w:rFonts w:ascii="Times New Roman" w:hAnsi="Times New Roman" w:cs="Times New Roman"/>
          <w:b/>
          <w:bCs/>
          <w:sz w:val="22"/>
        </w:rPr>
        <w:t>RAJKARAN YASODHADEVI PONNUVELUSAMY (C0928356)</w:t>
      </w:r>
    </w:p>
    <w:p w14:paraId="4E85E441" w14:textId="77777777" w:rsidR="00414A11" w:rsidRDefault="00414A11" w:rsidP="00414A11">
      <w:pPr>
        <w:jc w:val="center"/>
        <w:rPr>
          <w:rFonts w:ascii="Times New Roman" w:hAnsi="Times New Roman" w:cs="Times New Roman"/>
          <w:b/>
          <w:bCs/>
          <w:sz w:val="28"/>
          <w:lang w:val="en-US"/>
        </w:rPr>
      </w:pPr>
    </w:p>
    <w:p w14:paraId="02C8EF06" w14:textId="77777777" w:rsidR="00414A11" w:rsidRPr="00414A11" w:rsidRDefault="00414A11" w:rsidP="00414A11">
      <w:pPr>
        <w:jc w:val="center"/>
        <w:rPr>
          <w:rFonts w:ascii="Times New Roman" w:hAnsi="Times New Roman" w:cs="Times New Roman"/>
          <w:sz w:val="28"/>
        </w:rPr>
      </w:pPr>
      <w:r w:rsidRPr="00414A11">
        <w:rPr>
          <w:rFonts w:ascii="Times New Roman" w:hAnsi="Times New Roman" w:cs="Times New Roman"/>
          <w:sz w:val="28"/>
        </w:rPr>
        <w:t xml:space="preserve">to </w:t>
      </w:r>
    </w:p>
    <w:p w14:paraId="4E36CCDE" w14:textId="77777777" w:rsidR="00414A11" w:rsidRDefault="00414A11" w:rsidP="00414A11">
      <w:pPr>
        <w:jc w:val="center"/>
        <w:rPr>
          <w:rFonts w:ascii="Times New Roman" w:hAnsi="Times New Roman" w:cs="Times New Roman"/>
          <w:b/>
          <w:bCs/>
          <w:sz w:val="28"/>
        </w:rPr>
      </w:pPr>
      <w:r w:rsidRPr="00414A11">
        <w:rPr>
          <w:rFonts w:ascii="Times New Roman" w:hAnsi="Times New Roman" w:cs="Times New Roman"/>
          <w:b/>
          <w:bCs/>
          <w:sz w:val="28"/>
        </w:rPr>
        <w:t xml:space="preserve">Professor Bhavik Gandhi </w:t>
      </w:r>
    </w:p>
    <w:p w14:paraId="5C856F76" w14:textId="718674AC" w:rsidR="00414A11" w:rsidRPr="00414A11" w:rsidRDefault="00414A11" w:rsidP="00414A11">
      <w:pPr>
        <w:jc w:val="center"/>
        <w:rPr>
          <w:rFonts w:ascii="Times New Roman" w:hAnsi="Times New Roman" w:cs="Times New Roman"/>
          <w:b/>
          <w:bCs/>
          <w:sz w:val="28"/>
          <w:lang w:val="en-US"/>
        </w:rPr>
      </w:pPr>
      <w:r w:rsidRPr="00414A11">
        <w:rPr>
          <w:rFonts w:ascii="Times New Roman" w:hAnsi="Times New Roman" w:cs="Times New Roman"/>
          <w:b/>
          <w:bCs/>
          <w:sz w:val="28"/>
        </w:rPr>
        <w:t>Lambton College in Mississauga</w:t>
      </w:r>
    </w:p>
    <w:p w14:paraId="5612494D" w14:textId="77777777" w:rsidR="00414A11" w:rsidRDefault="00414A11" w:rsidP="00414A11">
      <w:pPr>
        <w:jc w:val="center"/>
        <w:rPr>
          <w:rFonts w:ascii="Times New Roman" w:hAnsi="Times New Roman" w:cs="Times New Roman"/>
          <w:b/>
          <w:bCs/>
          <w:sz w:val="28"/>
          <w:lang w:val="en-US"/>
        </w:rPr>
      </w:pPr>
    </w:p>
    <w:p w14:paraId="680C11C6" w14:textId="643D40A3" w:rsidR="00414A11" w:rsidRDefault="00414A11" w:rsidP="00414A11">
      <w:pPr>
        <w:jc w:val="center"/>
        <w:rPr>
          <w:rFonts w:ascii="Times New Roman" w:hAnsi="Times New Roman" w:cs="Times New Roman"/>
          <w:b/>
          <w:bCs/>
          <w:sz w:val="28"/>
          <w:lang w:val="en-US"/>
        </w:rPr>
      </w:pPr>
      <w:r>
        <w:rPr>
          <w:noProof/>
          <w:bdr w:val="none" w:sz="0" w:space="0" w:color="auto" w:frame="1"/>
        </w:rPr>
        <w:drawing>
          <wp:inline distT="0" distB="0" distL="0" distR="0" wp14:anchorId="4184DB12" wp14:editId="55F8FAF3">
            <wp:extent cx="1231900" cy="1104900"/>
            <wp:effectExtent l="0" t="0" r="6350" b="0"/>
            <wp:docPr id="1172830983" name="Picture 1" descr="A logo for a colle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colleg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1900" cy="1104900"/>
                    </a:xfrm>
                    <a:prstGeom prst="rect">
                      <a:avLst/>
                    </a:prstGeom>
                    <a:noFill/>
                    <a:ln>
                      <a:noFill/>
                    </a:ln>
                  </pic:spPr>
                </pic:pic>
              </a:graphicData>
            </a:graphic>
          </wp:inline>
        </w:drawing>
      </w:r>
    </w:p>
    <w:p w14:paraId="09FFE6FF" w14:textId="77777777" w:rsidR="00414A11" w:rsidRDefault="00414A11" w:rsidP="00114739">
      <w:pPr>
        <w:jc w:val="both"/>
        <w:rPr>
          <w:rFonts w:ascii="Times New Roman" w:hAnsi="Times New Roman" w:cs="Times New Roman"/>
          <w:b/>
          <w:bCs/>
          <w:sz w:val="28"/>
          <w:lang w:val="en-US"/>
        </w:rPr>
      </w:pPr>
    </w:p>
    <w:p w14:paraId="25AF90F5" w14:textId="77777777" w:rsidR="00BF3D74" w:rsidRDefault="00BF3D74" w:rsidP="00114739">
      <w:pPr>
        <w:jc w:val="both"/>
        <w:rPr>
          <w:rFonts w:ascii="Times New Roman" w:hAnsi="Times New Roman" w:cs="Times New Roman"/>
          <w:b/>
          <w:bCs/>
          <w:sz w:val="28"/>
          <w:lang w:val="en-US"/>
        </w:rPr>
      </w:pPr>
    </w:p>
    <w:p w14:paraId="2499724C" w14:textId="77777777" w:rsidR="00414A11" w:rsidRDefault="00414A11" w:rsidP="00543FBE">
      <w:pPr>
        <w:jc w:val="both"/>
        <w:rPr>
          <w:rFonts w:ascii="Times New Roman" w:hAnsi="Times New Roman" w:cs="Times New Roman"/>
          <w:b/>
          <w:bCs/>
          <w:sz w:val="28"/>
          <w:lang w:val="en-US"/>
        </w:rPr>
      </w:pPr>
    </w:p>
    <w:p w14:paraId="380F2C5D" w14:textId="6FD39F76" w:rsidR="00543FBE" w:rsidRDefault="00543FBE" w:rsidP="00543FBE">
      <w:pPr>
        <w:jc w:val="both"/>
        <w:rPr>
          <w:rFonts w:ascii="Times New Roman" w:hAnsi="Times New Roman" w:cs="Times New Roman"/>
          <w:b/>
          <w:bCs/>
        </w:rPr>
      </w:pPr>
      <w:r w:rsidRPr="00543FBE">
        <w:rPr>
          <w:rFonts w:ascii="Times New Roman" w:hAnsi="Times New Roman" w:cs="Times New Roman"/>
          <w:b/>
          <w:bCs/>
        </w:rPr>
        <w:lastRenderedPageBreak/>
        <w:t>INTRODUCTION</w:t>
      </w:r>
    </w:p>
    <w:p w14:paraId="1FDB6201" w14:textId="77777777" w:rsidR="00414A11" w:rsidRPr="00543FBE" w:rsidRDefault="00414A11" w:rsidP="00543FBE">
      <w:pPr>
        <w:jc w:val="both"/>
        <w:rPr>
          <w:rFonts w:ascii="Times New Roman" w:hAnsi="Times New Roman" w:cs="Times New Roman"/>
          <w:b/>
          <w:bCs/>
        </w:rPr>
      </w:pPr>
    </w:p>
    <w:p w14:paraId="76C419A6" w14:textId="6DEC0379" w:rsidR="00414A11" w:rsidRDefault="00414A11" w:rsidP="00543FBE">
      <w:pPr>
        <w:jc w:val="both"/>
        <w:rPr>
          <w:rFonts w:ascii="Times New Roman" w:hAnsi="Times New Roman" w:cs="Times New Roman"/>
          <w:bCs/>
        </w:rPr>
      </w:pPr>
      <w:r w:rsidRPr="00414A11">
        <w:rPr>
          <w:rFonts w:ascii="Times New Roman" w:hAnsi="Times New Roman" w:cs="Times New Roman"/>
          <w:bCs/>
        </w:rPr>
        <w:t xml:space="preserve">This project delivers an advanced framework for optimal portfolio management focused exclusively on the Toronto Stock Exchange (TSX) through state-of-the-art reinforcement learning techniques. By leveraging a comprehensive dataset of 4,066,965 historical data points spanning 1,631 potential securities, our system implements the Deep Deterministic Policy Gradient (DDPG3) algorithm for both strategic portfolio allocation and sophisticated risk management. The research meticulously processed and </w:t>
      </w:r>
      <w:proofErr w:type="spellStart"/>
      <w:r w:rsidRPr="00414A11">
        <w:rPr>
          <w:rFonts w:ascii="Times New Roman" w:hAnsi="Times New Roman" w:cs="Times New Roman"/>
          <w:bCs/>
        </w:rPr>
        <w:t>analyzed</w:t>
      </w:r>
      <w:proofErr w:type="spellEnd"/>
      <w:r w:rsidRPr="00414A11">
        <w:rPr>
          <w:rFonts w:ascii="Times New Roman" w:hAnsi="Times New Roman" w:cs="Times New Roman"/>
          <w:bCs/>
        </w:rPr>
        <w:t xml:space="preserve"> 1,537 stocks with sufficient historical data, applying advanced feature engineering techniques that capture nuanced market dynamics through technical indicators including Returns, Volume Moving Average, Price Moving Average, Relative Strength Index (RSI), Moving Average Convergence Divergence (MACD), Volatility, and Momentum. The integration of allocation and risk management within a single algorithm creates a robust trading system specifically optimized for Canadian market conditions, dynamically balancing profit maximization with risk minimization. This innovative approach goes beyond traditional portfolio management strategies by employing machine learning to adaptively respond to the complex and ever-changing landscape of the Toronto Stock Exchange. The tool represents a significant technological advancement for investors seeking enhanced returns while maintaining disciplined risk management, bridging cutting-edge reinforcement learning techniques with practical financial decision-making.</w:t>
      </w:r>
    </w:p>
    <w:p w14:paraId="35CE5856" w14:textId="77777777" w:rsidR="00414A11" w:rsidRDefault="00414A11" w:rsidP="00543FBE">
      <w:pPr>
        <w:jc w:val="both"/>
        <w:rPr>
          <w:rFonts w:ascii="Times New Roman" w:hAnsi="Times New Roman" w:cs="Times New Roman"/>
          <w:b/>
          <w:bCs/>
        </w:rPr>
      </w:pPr>
    </w:p>
    <w:p w14:paraId="4B6C892E" w14:textId="77777777" w:rsidR="00414A11" w:rsidRDefault="00414A11" w:rsidP="00543FBE">
      <w:pPr>
        <w:jc w:val="both"/>
        <w:rPr>
          <w:rFonts w:ascii="Times New Roman" w:hAnsi="Times New Roman" w:cs="Times New Roman"/>
          <w:b/>
          <w:bCs/>
        </w:rPr>
      </w:pPr>
    </w:p>
    <w:p w14:paraId="764FB400" w14:textId="16D762EA" w:rsidR="00543FBE" w:rsidRDefault="00543FBE" w:rsidP="00543FBE">
      <w:pPr>
        <w:jc w:val="both"/>
        <w:rPr>
          <w:rFonts w:ascii="Times New Roman" w:hAnsi="Times New Roman" w:cs="Times New Roman"/>
          <w:b/>
          <w:bCs/>
        </w:rPr>
      </w:pPr>
      <w:r w:rsidRPr="00543FBE">
        <w:rPr>
          <w:rFonts w:ascii="Times New Roman" w:hAnsi="Times New Roman" w:cs="Times New Roman"/>
          <w:b/>
          <w:bCs/>
        </w:rPr>
        <w:t>INDUSTRY</w:t>
      </w:r>
    </w:p>
    <w:p w14:paraId="7090C1E0" w14:textId="77777777" w:rsidR="00414A11" w:rsidRPr="00543FBE" w:rsidRDefault="00414A11" w:rsidP="00543FBE">
      <w:pPr>
        <w:jc w:val="both"/>
        <w:rPr>
          <w:rFonts w:ascii="Times New Roman" w:hAnsi="Times New Roman" w:cs="Times New Roman"/>
          <w:b/>
          <w:bCs/>
        </w:rPr>
      </w:pPr>
    </w:p>
    <w:p w14:paraId="2114FFCE" w14:textId="77777777" w:rsidR="002C7CEA" w:rsidRDefault="002C7CEA" w:rsidP="00543FBE">
      <w:pPr>
        <w:jc w:val="both"/>
        <w:rPr>
          <w:rFonts w:ascii="Times New Roman" w:hAnsi="Times New Roman" w:cs="Times New Roman"/>
          <w:bCs/>
        </w:rPr>
      </w:pPr>
      <w:r w:rsidRPr="002C7CEA">
        <w:rPr>
          <w:rFonts w:ascii="Times New Roman" w:hAnsi="Times New Roman" w:cs="Times New Roman"/>
          <w:bCs/>
        </w:rPr>
        <w:t xml:space="preserve">The stock market serves as a vital platform where investors can purchase and sell shares of publicly traded companies, acquiring partial ownership and generating returns through dividends or capital appreciation. This project specifically targets the Toronto Stock Exchange (TSX), Canada's premier equity market and a significant global financial hub. Ranked as the 10th largest exchange worldwide and 3rd largest in North America by market capitalization, the TSX represents a substantial yet often underutilized opportunity for algorithmic trading strategies. </w:t>
      </w:r>
    </w:p>
    <w:p w14:paraId="1918D06A" w14:textId="0E90A5BA" w:rsidR="00414A11" w:rsidRDefault="002C7CEA" w:rsidP="00543FBE">
      <w:pPr>
        <w:jc w:val="both"/>
        <w:rPr>
          <w:rFonts w:ascii="Times New Roman" w:hAnsi="Times New Roman" w:cs="Times New Roman"/>
          <w:bCs/>
        </w:rPr>
      </w:pPr>
      <w:r w:rsidRPr="002C7CEA">
        <w:rPr>
          <w:rFonts w:ascii="Times New Roman" w:hAnsi="Times New Roman" w:cs="Times New Roman"/>
          <w:bCs/>
        </w:rPr>
        <w:t>As of January 2024, the TSX hosted 1,811 listed companies spanning diverse sectors of the Canadian economy. Our comprehensive dataset encompasses 1,631 of these listings, providing broad market coverage for our reinforcement learning models. The exchange features prominent companies across key sectors including energy, financial services, industrials, and natural resources that form the backbone of the Canadian economy.</w:t>
      </w:r>
    </w:p>
    <w:p w14:paraId="52E3D353" w14:textId="77777777" w:rsidR="00414A11" w:rsidRDefault="00414A11" w:rsidP="00543FBE">
      <w:pPr>
        <w:jc w:val="both"/>
        <w:rPr>
          <w:rFonts w:ascii="Times New Roman" w:hAnsi="Times New Roman" w:cs="Times New Roman"/>
          <w:bCs/>
        </w:rPr>
      </w:pPr>
    </w:p>
    <w:p w14:paraId="64FE65B4" w14:textId="77777777" w:rsidR="00414A11" w:rsidRDefault="00414A11" w:rsidP="00543FBE">
      <w:pPr>
        <w:jc w:val="both"/>
        <w:rPr>
          <w:rFonts w:ascii="Times New Roman" w:hAnsi="Times New Roman" w:cs="Times New Roman"/>
          <w:bCs/>
        </w:rPr>
      </w:pPr>
    </w:p>
    <w:p w14:paraId="693C0DCE" w14:textId="77777777" w:rsidR="00414A11" w:rsidRDefault="00414A11" w:rsidP="00543FBE">
      <w:pPr>
        <w:jc w:val="both"/>
        <w:rPr>
          <w:rFonts w:ascii="Times New Roman" w:hAnsi="Times New Roman" w:cs="Times New Roman"/>
          <w:bCs/>
        </w:rPr>
      </w:pPr>
    </w:p>
    <w:p w14:paraId="00C39991" w14:textId="3D3CEA89"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lastRenderedPageBreak/>
        <w:t>Key TSX Components in Our Dataset</w:t>
      </w:r>
      <w:r w:rsidR="00414A11">
        <w:rPr>
          <w:rFonts w:ascii="Times New Roman" w:hAnsi="Times New Roman" w:cs="Times New Roman"/>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8"/>
        <w:gridCol w:w="3799"/>
        <w:gridCol w:w="1847"/>
        <w:gridCol w:w="1975"/>
      </w:tblGrid>
      <w:tr w:rsidR="00543FBE" w:rsidRPr="00543FBE" w14:paraId="00D4F8AE" w14:textId="77777777" w:rsidTr="00543FB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E70699" w14:textId="77777777"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Ticker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BF4FAE4" w14:textId="77777777"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Company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049E401" w14:textId="77777777"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Sector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6DBCD8C5" w14:textId="77777777"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Industry</w:t>
            </w:r>
          </w:p>
        </w:tc>
      </w:tr>
      <w:tr w:rsidR="00543FBE" w:rsidRPr="00543FBE" w14:paraId="71982FBC" w14:textId="77777777" w:rsidTr="00543F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54C91C"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CNQ.TO</w:t>
            </w:r>
          </w:p>
        </w:tc>
        <w:tc>
          <w:tcPr>
            <w:tcW w:w="0" w:type="auto"/>
            <w:tcBorders>
              <w:top w:val="single" w:sz="4" w:space="0" w:color="auto"/>
              <w:left w:val="single" w:sz="4" w:space="0" w:color="auto"/>
              <w:bottom w:val="single" w:sz="4" w:space="0" w:color="auto"/>
              <w:right w:val="single" w:sz="4" w:space="0" w:color="auto"/>
            </w:tcBorders>
            <w:vAlign w:val="center"/>
            <w:hideMark/>
          </w:tcPr>
          <w:p w14:paraId="20B3FCDC"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Canadian Natural Resources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3F8400C"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Energy</w:t>
            </w:r>
          </w:p>
        </w:tc>
        <w:tc>
          <w:tcPr>
            <w:tcW w:w="0" w:type="auto"/>
            <w:tcBorders>
              <w:top w:val="single" w:sz="4" w:space="0" w:color="auto"/>
              <w:left w:val="single" w:sz="4" w:space="0" w:color="auto"/>
              <w:bottom w:val="single" w:sz="4" w:space="0" w:color="auto"/>
              <w:right w:val="single" w:sz="4" w:space="0" w:color="auto"/>
            </w:tcBorders>
            <w:vAlign w:val="center"/>
            <w:hideMark/>
          </w:tcPr>
          <w:p w14:paraId="55BDE8C8"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Oil &amp; Gas E&amp;P</w:t>
            </w:r>
          </w:p>
        </w:tc>
      </w:tr>
      <w:tr w:rsidR="00543FBE" w:rsidRPr="00543FBE" w14:paraId="1AC9AE22" w14:textId="77777777" w:rsidTr="00543F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6C372E"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BMO.TO</w:t>
            </w:r>
          </w:p>
        </w:tc>
        <w:tc>
          <w:tcPr>
            <w:tcW w:w="0" w:type="auto"/>
            <w:tcBorders>
              <w:top w:val="single" w:sz="4" w:space="0" w:color="auto"/>
              <w:left w:val="single" w:sz="4" w:space="0" w:color="auto"/>
              <w:bottom w:val="single" w:sz="4" w:space="0" w:color="auto"/>
              <w:right w:val="single" w:sz="4" w:space="0" w:color="auto"/>
            </w:tcBorders>
            <w:vAlign w:val="center"/>
            <w:hideMark/>
          </w:tcPr>
          <w:p w14:paraId="308DD187"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Bank of Montreal</w:t>
            </w:r>
          </w:p>
        </w:tc>
        <w:tc>
          <w:tcPr>
            <w:tcW w:w="0" w:type="auto"/>
            <w:tcBorders>
              <w:top w:val="single" w:sz="4" w:space="0" w:color="auto"/>
              <w:left w:val="single" w:sz="4" w:space="0" w:color="auto"/>
              <w:bottom w:val="single" w:sz="4" w:space="0" w:color="auto"/>
              <w:right w:val="single" w:sz="4" w:space="0" w:color="auto"/>
            </w:tcBorders>
            <w:vAlign w:val="center"/>
            <w:hideMark/>
          </w:tcPr>
          <w:p w14:paraId="4BABFE96"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Financial Services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0529277"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Banks - Diversified</w:t>
            </w:r>
          </w:p>
        </w:tc>
      </w:tr>
      <w:tr w:rsidR="00543FBE" w:rsidRPr="00543FBE" w14:paraId="5FEF5A67" w14:textId="77777777" w:rsidTr="00543F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2A0C18"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CM.TO</w:t>
            </w:r>
          </w:p>
        </w:tc>
        <w:tc>
          <w:tcPr>
            <w:tcW w:w="0" w:type="auto"/>
            <w:tcBorders>
              <w:top w:val="single" w:sz="4" w:space="0" w:color="auto"/>
              <w:left w:val="single" w:sz="4" w:space="0" w:color="auto"/>
              <w:bottom w:val="single" w:sz="4" w:space="0" w:color="auto"/>
              <w:right w:val="single" w:sz="4" w:space="0" w:color="auto"/>
            </w:tcBorders>
            <w:vAlign w:val="center"/>
            <w:hideMark/>
          </w:tcPr>
          <w:p w14:paraId="561EC1F8"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Canadian Imperial Bank of Commerce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042B58"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Financial Services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BFFD085"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Banks - Diversified</w:t>
            </w:r>
          </w:p>
        </w:tc>
      </w:tr>
      <w:tr w:rsidR="00543FBE" w:rsidRPr="00543FBE" w14:paraId="7020331E" w14:textId="77777777" w:rsidTr="00543F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6C0452"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CNR.TO</w:t>
            </w:r>
          </w:p>
        </w:tc>
        <w:tc>
          <w:tcPr>
            <w:tcW w:w="0" w:type="auto"/>
            <w:tcBorders>
              <w:top w:val="single" w:sz="4" w:space="0" w:color="auto"/>
              <w:left w:val="single" w:sz="4" w:space="0" w:color="auto"/>
              <w:bottom w:val="single" w:sz="4" w:space="0" w:color="auto"/>
              <w:right w:val="single" w:sz="4" w:space="0" w:color="auto"/>
            </w:tcBorders>
            <w:vAlign w:val="center"/>
            <w:hideMark/>
          </w:tcPr>
          <w:p w14:paraId="56EEB500"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Canadian National Railway Co.</w:t>
            </w:r>
          </w:p>
        </w:tc>
        <w:tc>
          <w:tcPr>
            <w:tcW w:w="0" w:type="auto"/>
            <w:tcBorders>
              <w:top w:val="single" w:sz="4" w:space="0" w:color="auto"/>
              <w:left w:val="single" w:sz="4" w:space="0" w:color="auto"/>
              <w:bottom w:val="single" w:sz="4" w:space="0" w:color="auto"/>
              <w:right w:val="single" w:sz="4" w:space="0" w:color="auto"/>
            </w:tcBorders>
            <w:vAlign w:val="center"/>
            <w:hideMark/>
          </w:tcPr>
          <w:p w14:paraId="1EA29A8B"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Industrials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0F7C4B"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Railroads</w:t>
            </w:r>
          </w:p>
        </w:tc>
      </w:tr>
      <w:tr w:rsidR="00543FBE" w:rsidRPr="00543FBE" w14:paraId="3950865A" w14:textId="77777777" w:rsidTr="00543F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55F8FE"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ABX.TO</w:t>
            </w:r>
          </w:p>
        </w:tc>
        <w:tc>
          <w:tcPr>
            <w:tcW w:w="0" w:type="auto"/>
            <w:tcBorders>
              <w:top w:val="single" w:sz="4" w:space="0" w:color="auto"/>
              <w:left w:val="single" w:sz="4" w:space="0" w:color="auto"/>
              <w:bottom w:val="single" w:sz="4" w:space="0" w:color="auto"/>
              <w:right w:val="single" w:sz="4" w:space="0" w:color="auto"/>
            </w:tcBorders>
            <w:vAlign w:val="center"/>
            <w:hideMark/>
          </w:tcPr>
          <w:p w14:paraId="633DDBBF"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Barrick Gold Corporation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724266C"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Basic Materials</w:t>
            </w:r>
          </w:p>
        </w:tc>
        <w:tc>
          <w:tcPr>
            <w:tcW w:w="0" w:type="auto"/>
            <w:tcBorders>
              <w:top w:val="single" w:sz="4" w:space="0" w:color="auto"/>
              <w:left w:val="single" w:sz="4" w:space="0" w:color="auto"/>
              <w:bottom w:val="single" w:sz="4" w:space="0" w:color="auto"/>
              <w:right w:val="single" w:sz="4" w:space="0" w:color="auto"/>
            </w:tcBorders>
            <w:vAlign w:val="center"/>
            <w:hideMark/>
          </w:tcPr>
          <w:p w14:paraId="20E2D6A0"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Gold</w:t>
            </w:r>
          </w:p>
        </w:tc>
      </w:tr>
      <w:tr w:rsidR="00543FBE" w:rsidRPr="00543FBE" w14:paraId="2F1BF82D" w14:textId="77777777" w:rsidTr="00543F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3EF672"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BNS.TO</w:t>
            </w:r>
          </w:p>
        </w:tc>
        <w:tc>
          <w:tcPr>
            <w:tcW w:w="0" w:type="auto"/>
            <w:tcBorders>
              <w:top w:val="single" w:sz="4" w:space="0" w:color="auto"/>
              <w:left w:val="single" w:sz="4" w:space="0" w:color="auto"/>
              <w:bottom w:val="single" w:sz="4" w:space="0" w:color="auto"/>
              <w:right w:val="single" w:sz="4" w:space="0" w:color="auto"/>
            </w:tcBorders>
            <w:vAlign w:val="center"/>
            <w:hideMark/>
          </w:tcPr>
          <w:p w14:paraId="478165C1"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Bank of Nova Scotia</w:t>
            </w:r>
          </w:p>
        </w:tc>
        <w:tc>
          <w:tcPr>
            <w:tcW w:w="0" w:type="auto"/>
            <w:tcBorders>
              <w:top w:val="single" w:sz="4" w:space="0" w:color="auto"/>
              <w:left w:val="single" w:sz="4" w:space="0" w:color="auto"/>
              <w:bottom w:val="single" w:sz="4" w:space="0" w:color="auto"/>
              <w:right w:val="single" w:sz="4" w:space="0" w:color="auto"/>
            </w:tcBorders>
            <w:vAlign w:val="center"/>
            <w:hideMark/>
          </w:tcPr>
          <w:p w14:paraId="4A297DFF"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Financial Services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4D37428"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Banks - Diversified</w:t>
            </w:r>
          </w:p>
        </w:tc>
      </w:tr>
    </w:tbl>
    <w:p w14:paraId="7D56C849" w14:textId="77777777" w:rsidR="00543FBE" w:rsidRDefault="00543FBE" w:rsidP="00543FBE">
      <w:pPr>
        <w:jc w:val="both"/>
        <w:rPr>
          <w:rFonts w:ascii="Times New Roman" w:hAnsi="Times New Roman" w:cs="Times New Roman"/>
          <w:b/>
          <w:bCs/>
        </w:rPr>
      </w:pPr>
    </w:p>
    <w:p w14:paraId="331D84C4" w14:textId="77777777" w:rsidR="00543FBE" w:rsidRDefault="00543FBE" w:rsidP="00543FBE">
      <w:pPr>
        <w:jc w:val="both"/>
        <w:rPr>
          <w:rFonts w:ascii="Times New Roman" w:hAnsi="Times New Roman" w:cs="Times New Roman"/>
          <w:b/>
          <w:bCs/>
        </w:rPr>
      </w:pPr>
    </w:p>
    <w:p w14:paraId="5F0CA16D" w14:textId="054E97AD"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DEFINING THE PROBLEMS</w:t>
      </w:r>
    </w:p>
    <w:p w14:paraId="0299AC97"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Individual investors face numerous challenges when managing stock portfolios that sophisticated institutional investors can overcome with advanced technologies and expertise.</w:t>
      </w:r>
    </w:p>
    <w:p w14:paraId="5C7ED619" w14:textId="2EF6EF2D" w:rsidR="00543FBE" w:rsidRPr="00BF5046" w:rsidRDefault="00BF5046" w:rsidP="00543FBE">
      <w:pPr>
        <w:jc w:val="both"/>
        <w:rPr>
          <w:rFonts w:ascii="Times New Roman" w:hAnsi="Times New Roman" w:cs="Times New Roman"/>
          <w:sz w:val="25"/>
        </w:rPr>
      </w:pPr>
      <w:r w:rsidRPr="00BF5046">
        <w:rPr>
          <w:rFonts w:ascii="Times New Roman" w:hAnsi="Times New Roman" w:cs="Times New Roman"/>
          <w:sz w:val="25"/>
        </w:rPr>
        <w:t>Knowledge &amp; Expertise Gap</w:t>
      </w:r>
    </w:p>
    <w:p w14:paraId="08E87499"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Most retail investors possess limited understanding of the statistical methods required for true portfolio optimization. They struggle to build complex risk models, lack expertise in advanced technical analysis, and find it difficult to incorporate broader macroeconomic factors into their investment decisions.</w:t>
      </w:r>
    </w:p>
    <w:p w14:paraId="58CDD132" w14:textId="37C0DB68" w:rsidR="00543FBE" w:rsidRPr="00BF5046" w:rsidRDefault="00A653D0" w:rsidP="00543FBE">
      <w:pPr>
        <w:jc w:val="both"/>
        <w:rPr>
          <w:rFonts w:ascii="Times New Roman" w:hAnsi="Times New Roman" w:cs="Times New Roman"/>
          <w:sz w:val="25"/>
        </w:rPr>
      </w:pPr>
      <w:r w:rsidRPr="00BF5046">
        <w:rPr>
          <w:rFonts w:ascii="Times New Roman" w:hAnsi="Times New Roman" w:cs="Times New Roman"/>
          <w:sz w:val="25"/>
        </w:rPr>
        <w:t>Information Overload</w:t>
      </w:r>
    </w:p>
    <w:p w14:paraId="6ADF4D2B"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Individual investors today face an overwhelming deluge of financial information that makes effective portfolio management exceedingly difficult. The modern investor must somehow process data on thousands of potential investments, interpret complex technical indicators like RSI and MACD, integrate breaking market news, and analyse intricate corporate financial statements - all simultaneously and continuously. This cognitive burden alone creates a significant barrier to effective decision-making.</w:t>
      </w:r>
    </w:p>
    <w:p w14:paraId="13A05AF1" w14:textId="62139851" w:rsidR="00543FBE" w:rsidRPr="00BF5046" w:rsidRDefault="00A653D0" w:rsidP="00543FBE">
      <w:pPr>
        <w:jc w:val="both"/>
        <w:rPr>
          <w:rFonts w:ascii="Times New Roman" w:hAnsi="Times New Roman" w:cs="Times New Roman"/>
          <w:bCs/>
          <w:sz w:val="25"/>
        </w:rPr>
      </w:pPr>
      <w:r w:rsidRPr="00BF5046">
        <w:rPr>
          <w:rFonts w:ascii="Times New Roman" w:hAnsi="Times New Roman" w:cs="Times New Roman"/>
          <w:bCs/>
          <w:sz w:val="25"/>
        </w:rPr>
        <w:t>Biases in Investment Decisions</w:t>
      </w:r>
    </w:p>
    <w:p w14:paraId="09CD8DD2"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Investors routinely exhibit recency bias, giving too much weight to recent market events while ignoring longer-term patterns. Confirmation bias leads them to seek information that validates their existing investment theses while disregarding contradictory evidence.</w:t>
      </w:r>
    </w:p>
    <w:p w14:paraId="2DC66298" w14:textId="655793D7" w:rsidR="00543FBE" w:rsidRPr="00BF5046" w:rsidRDefault="00543FBE" w:rsidP="00543FBE">
      <w:pPr>
        <w:jc w:val="both"/>
        <w:rPr>
          <w:rFonts w:ascii="Times New Roman" w:hAnsi="Times New Roman" w:cs="Times New Roman"/>
          <w:bCs/>
          <w:sz w:val="25"/>
        </w:rPr>
      </w:pPr>
      <w:r w:rsidRPr="00BF5046">
        <w:rPr>
          <w:rFonts w:ascii="Times New Roman" w:hAnsi="Times New Roman" w:cs="Times New Roman"/>
          <w:bCs/>
          <w:sz w:val="25"/>
        </w:rPr>
        <w:t>R</w:t>
      </w:r>
      <w:r w:rsidR="00A653D0" w:rsidRPr="00BF5046">
        <w:rPr>
          <w:rFonts w:ascii="Times New Roman" w:hAnsi="Times New Roman" w:cs="Times New Roman"/>
          <w:bCs/>
          <w:sz w:val="25"/>
        </w:rPr>
        <w:t>isk Perception Challenges</w:t>
      </w:r>
    </w:p>
    <w:p w14:paraId="2EC128A0"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 xml:space="preserve">Most retail investors struggle to accurately quantify expected market volatility and fail to align their actual risk tolerance with their portfolio construction. There's a pervasive blindness to tail </w:t>
      </w:r>
      <w:r w:rsidRPr="00543FBE">
        <w:rPr>
          <w:rFonts w:ascii="Times New Roman" w:hAnsi="Times New Roman" w:cs="Times New Roman"/>
          <w:bCs/>
        </w:rPr>
        <w:lastRenderedPageBreak/>
        <w:t>risk - the probability and potential impact of extreme market events that occur more frequently than standard models predict. Investors also frequently misunderstand asset correlations, especially how seemingly diverse investments may become highly correlated during market stress, undermining diversification benefits precisely when they're most needed.</w:t>
      </w:r>
    </w:p>
    <w:p w14:paraId="123FE380" w14:textId="7D0E8AE4" w:rsidR="00A653D0" w:rsidRPr="00BF5046" w:rsidRDefault="00A653D0" w:rsidP="00543FBE">
      <w:pPr>
        <w:jc w:val="both"/>
        <w:rPr>
          <w:rFonts w:ascii="Times New Roman" w:hAnsi="Times New Roman" w:cs="Times New Roman"/>
          <w:bCs/>
          <w:sz w:val="25"/>
        </w:rPr>
      </w:pPr>
      <w:r w:rsidRPr="00BF5046">
        <w:rPr>
          <w:rFonts w:ascii="Times New Roman" w:hAnsi="Times New Roman" w:cs="Times New Roman"/>
          <w:bCs/>
          <w:sz w:val="25"/>
        </w:rPr>
        <w:t>Asset Selection &amp; Portfolio Management &amp; Optimization</w:t>
      </w:r>
    </w:p>
    <w:p w14:paraId="06924384" w14:textId="3FEA86CE" w:rsidR="00A653D0" w:rsidRDefault="00543FBE" w:rsidP="00543FBE">
      <w:pPr>
        <w:jc w:val="both"/>
        <w:rPr>
          <w:rFonts w:ascii="Times New Roman" w:hAnsi="Times New Roman" w:cs="Times New Roman"/>
          <w:bCs/>
        </w:rPr>
      </w:pPr>
      <w:r w:rsidRPr="00543FBE">
        <w:rPr>
          <w:rFonts w:ascii="Times New Roman" w:hAnsi="Times New Roman" w:cs="Times New Roman"/>
          <w:bCs/>
        </w:rPr>
        <w:t>Individual investors often select assets based on familiarity or recent performance rather than fundamental analysis, leading to suboptimal portfolios from the outset. They frequently struggle with diversification, either over-diversifying and diluting potential returns or under-diversifying and taking on excessive concentration risk. They also tend to focus single-dimensionally on returns without properly accounting for risk. Rebalancing timing becomes a persistent question without clear answers, leading to either excessive trading or neglect of portfolio drift.</w:t>
      </w:r>
    </w:p>
    <w:p w14:paraId="6C1F0903" w14:textId="7A54140E" w:rsidR="00543FBE" w:rsidRPr="00BF5046" w:rsidRDefault="00A653D0" w:rsidP="00543FBE">
      <w:pPr>
        <w:jc w:val="both"/>
        <w:rPr>
          <w:rFonts w:ascii="Times New Roman" w:hAnsi="Times New Roman" w:cs="Times New Roman"/>
          <w:bCs/>
          <w:sz w:val="25"/>
        </w:rPr>
      </w:pPr>
      <w:r w:rsidRPr="00BF5046">
        <w:rPr>
          <w:rFonts w:ascii="Times New Roman" w:hAnsi="Times New Roman" w:cs="Times New Roman"/>
          <w:bCs/>
          <w:sz w:val="25"/>
        </w:rPr>
        <w:t>Technological Limitations</w:t>
      </w:r>
    </w:p>
    <w:p w14:paraId="7DA99A2B" w14:textId="77777777" w:rsidR="00543FBE" w:rsidRDefault="00543FBE" w:rsidP="00543FBE">
      <w:pPr>
        <w:jc w:val="both"/>
        <w:rPr>
          <w:rFonts w:ascii="Times New Roman" w:hAnsi="Times New Roman" w:cs="Times New Roman"/>
          <w:bCs/>
        </w:rPr>
      </w:pPr>
      <w:r w:rsidRPr="00543FBE">
        <w:rPr>
          <w:rFonts w:ascii="Times New Roman" w:hAnsi="Times New Roman" w:cs="Times New Roman"/>
          <w:bCs/>
        </w:rPr>
        <w:t>Individual investors face significant technological disadvantages compared to institutional market participants. The computational constraints are substantial - retail investors lack the processing power to analyse large market datasets, the capabilities to process information in real-time, access to sophisticated automated execution systems, and the ability to rigorously back test strategies against historical data.</w:t>
      </w:r>
    </w:p>
    <w:p w14:paraId="570E62F4" w14:textId="77777777" w:rsidR="00543FBE" w:rsidRPr="00543FBE" w:rsidRDefault="00543FBE" w:rsidP="00543FBE">
      <w:pPr>
        <w:jc w:val="both"/>
        <w:rPr>
          <w:rFonts w:ascii="Times New Roman" w:hAnsi="Times New Roman" w:cs="Times New Roman"/>
          <w:bCs/>
        </w:rPr>
      </w:pPr>
    </w:p>
    <w:p w14:paraId="20D2F08D" w14:textId="77777777" w:rsidR="00A653D0" w:rsidRPr="00414A11" w:rsidRDefault="00A653D0" w:rsidP="00543FBE">
      <w:pPr>
        <w:jc w:val="both"/>
        <w:rPr>
          <w:rFonts w:ascii="Times New Roman" w:hAnsi="Times New Roman" w:cs="Times New Roman"/>
          <w:b/>
          <w:bCs/>
          <w:sz w:val="28"/>
        </w:rPr>
      </w:pPr>
      <w:r w:rsidRPr="00414A11">
        <w:rPr>
          <w:rFonts w:ascii="Times New Roman" w:hAnsi="Times New Roman" w:cs="Times New Roman"/>
          <w:b/>
          <w:bCs/>
          <w:sz w:val="28"/>
        </w:rPr>
        <w:t xml:space="preserve">DIFFERENTIATION </w:t>
      </w:r>
    </w:p>
    <w:p w14:paraId="683D16CF" w14:textId="43DA17E1" w:rsidR="00543FBE" w:rsidRDefault="00A653D0" w:rsidP="00543FBE">
      <w:pPr>
        <w:jc w:val="both"/>
        <w:rPr>
          <w:rFonts w:ascii="Times New Roman" w:hAnsi="Times New Roman" w:cs="Times New Roman"/>
          <w:b/>
          <w:bCs/>
        </w:rPr>
      </w:pPr>
      <w:r w:rsidRPr="00A653D0">
        <w:rPr>
          <w:rFonts w:ascii="Times New Roman" w:hAnsi="Times New Roman" w:cs="Times New Roman"/>
        </w:rPr>
        <w:t>The product represents a significant advancement over traditional portfolio management tools and even other machine learning-based approaches.</w:t>
      </w:r>
    </w:p>
    <w:p w14:paraId="0B3BA7A5" w14:textId="77777777" w:rsidR="0099341B" w:rsidRDefault="0099341B" w:rsidP="00543FBE">
      <w:pPr>
        <w:jc w:val="both"/>
        <w:rPr>
          <w:rStyle w:val="Strong"/>
          <w:rFonts w:ascii="Times New Roman" w:eastAsiaTheme="majorEastAsia" w:hAnsi="Times New Roman"/>
        </w:rPr>
      </w:pPr>
    </w:p>
    <w:p w14:paraId="73321CF6" w14:textId="77777777" w:rsidR="00A653D0" w:rsidRPr="00A653D0" w:rsidRDefault="00A653D0" w:rsidP="00A653D0">
      <w:pPr>
        <w:jc w:val="both"/>
        <w:rPr>
          <w:rStyle w:val="Strong"/>
          <w:rFonts w:ascii="Times New Roman" w:eastAsiaTheme="majorEastAsia" w:hAnsi="Times New Roman"/>
        </w:rPr>
      </w:pPr>
      <w:r w:rsidRPr="00A653D0">
        <w:rPr>
          <w:rStyle w:val="Strong"/>
          <w:rFonts w:ascii="Times New Roman" w:eastAsiaTheme="majorEastAsia" w:hAnsi="Times New Roman"/>
        </w:rPr>
        <w:t>TRADITIONAL PORTFOLIO MANAGEMENT PLATFORMS</w:t>
      </w:r>
    </w:p>
    <w:p w14:paraId="648E0A2B" w14:textId="77777777" w:rsidR="00A653D0" w:rsidRPr="00A653D0" w:rsidRDefault="00A653D0" w:rsidP="00A653D0">
      <w:pPr>
        <w:jc w:val="both"/>
        <w:rPr>
          <w:rStyle w:val="Strong"/>
          <w:rFonts w:ascii="Times New Roman" w:eastAsiaTheme="majorEastAsia" w:hAnsi="Times New Roman"/>
          <w:b w:val="0"/>
          <w:bCs w:val="0"/>
        </w:rPr>
      </w:pPr>
      <w:r w:rsidRPr="00A653D0">
        <w:rPr>
          <w:rStyle w:val="Strong"/>
          <w:rFonts w:ascii="Times New Roman" w:eastAsiaTheme="majorEastAsia" w:hAnsi="Times New Roman"/>
          <w:b w:val="0"/>
          <w:bCs w:val="0"/>
        </w:rPr>
        <w:t xml:space="preserve">1. </w:t>
      </w:r>
      <w:proofErr w:type="spellStart"/>
      <w:r w:rsidRPr="00A653D0">
        <w:rPr>
          <w:rStyle w:val="Strong"/>
          <w:rFonts w:ascii="Times New Roman" w:eastAsiaTheme="majorEastAsia" w:hAnsi="Times New Roman"/>
          <w:b w:val="0"/>
          <w:bCs w:val="0"/>
        </w:rPr>
        <w:t>MetaTrader</w:t>
      </w:r>
      <w:proofErr w:type="spellEnd"/>
      <w:r w:rsidRPr="00A653D0">
        <w:rPr>
          <w:rStyle w:val="Strong"/>
          <w:rFonts w:ascii="Times New Roman" w:eastAsiaTheme="majorEastAsia" w:hAnsi="Times New Roman"/>
          <w:b w:val="0"/>
          <w:bCs w:val="0"/>
        </w:rPr>
        <w:t xml:space="preserve"> (MT4/MT5)</w:t>
      </w:r>
    </w:p>
    <w:p w14:paraId="3828F6C1" w14:textId="77777777" w:rsidR="00A653D0" w:rsidRPr="00A653D0" w:rsidRDefault="00A653D0" w:rsidP="00A653D0">
      <w:pPr>
        <w:jc w:val="both"/>
        <w:rPr>
          <w:rStyle w:val="Strong"/>
          <w:rFonts w:ascii="Times New Roman" w:eastAsiaTheme="majorEastAsia" w:hAnsi="Times New Roman"/>
          <w:b w:val="0"/>
          <w:bCs w:val="0"/>
        </w:rPr>
      </w:pPr>
      <w:r w:rsidRPr="00A653D0">
        <w:rPr>
          <w:rStyle w:val="Strong"/>
          <w:rFonts w:ascii="Times New Roman" w:eastAsiaTheme="majorEastAsia" w:hAnsi="Times New Roman"/>
          <w:b w:val="0"/>
          <w:bCs w:val="0"/>
        </w:rPr>
        <w:t xml:space="preserve">Approach: </w:t>
      </w:r>
      <w:proofErr w:type="spellStart"/>
      <w:r w:rsidRPr="00A653D0">
        <w:rPr>
          <w:rStyle w:val="Strong"/>
          <w:rFonts w:ascii="Times New Roman" w:eastAsiaTheme="majorEastAsia" w:hAnsi="Times New Roman"/>
          <w:b w:val="0"/>
          <w:bCs w:val="0"/>
        </w:rPr>
        <w:t>MetaTrader</w:t>
      </w:r>
      <w:proofErr w:type="spellEnd"/>
      <w:r w:rsidRPr="00A653D0">
        <w:rPr>
          <w:rStyle w:val="Strong"/>
          <w:rFonts w:ascii="Times New Roman" w:eastAsiaTheme="majorEastAsia" w:hAnsi="Times New Roman"/>
          <w:b w:val="0"/>
          <w:bCs w:val="0"/>
        </w:rPr>
        <w:t xml:space="preserve"> is widely used for online retail foreign exchange trading, focusing primarily on technical analysis and rule-based trading. It operates on fixed, rule-based strategies that remain static once implemented and cannot adjust to changes in market conditions.</w:t>
      </w:r>
    </w:p>
    <w:p w14:paraId="14D42AE3" w14:textId="168F0981" w:rsidR="00A653D0" w:rsidRDefault="00A653D0" w:rsidP="00A653D0">
      <w:pPr>
        <w:jc w:val="both"/>
        <w:rPr>
          <w:rStyle w:val="Strong"/>
          <w:rFonts w:ascii="Times New Roman" w:eastAsiaTheme="majorEastAsia" w:hAnsi="Times New Roman"/>
          <w:b w:val="0"/>
          <w:bCs w:val="0"/>
        </w:rPr>
      </w:pPr>
      <w:r w:rsidRPr="00A653D0">
        <w:rPr>
          <w:rStyle w:val="Strong"/>
          <w:rFonts w:ascii="Times New Roman" w:eastAsiaTheme="majorEastAsia" w:hAnsi="Times New Roman"/>
          <w:b w:val="0"/>
          <w:bCs w:val="0"/>
        </w:rPr>
        <w:t xml:space="preserve">Differentiation: The DDPG3 system dynamically adapts to market changes through reinforcement learning, unlike </w:t>
      </w:r>
      <w:proofErr w:type="spellStart"/>
      <w:r w:rsidRPr="00A653D0">
        <w:rPr>
          <w:rStyle w:val="Strong"/>
          <w:rFonts w:ascii="Times New Roman" w:eastAsiaTheme="majorEastAsia" w:hAnsi="Times New Roman"/>
          <w:b w:val="0"/>
          <w:bCs w:val="0"/>
        </w:rPr>
        <w:t>MetaTrader's</w:t>
      </w:r>
      <w:proofErr w:type="spellEnd"/>
      <w:r w:rsidRPr="00A653D0">
        <w:rPr>
          <w:rStyle w:val="Strong"/>
          <w:rFonts w:ascii="Times New Roman" w:eastAsiaTheme="majorEastAsia" w:hAnsi="Times New Roman"/>
          <w:b w:val="0"/>
          <w:bCs w:val="0"/>
        </w:rPr>
        <w:t xml:space="preserve"> static approach. While </w:t>
      </w:r>
      <w:proofErr w:type="spellStart"/>
      <w:r w:rsidRPr="00A653D0">
        <w:rPr>
          <w:rStyle w:val="Strong"/>
          <w:rFonts w:ascii="Times New Roman" w:eastAsiaTheme="majorEastAsia" w:hAnsi="Times New Roman"/>
          <w:b w:val="0"/>
          <w:bCs w:val="0"/>
        </w:rPr>
        <w:t>MetaTrader</w:t>
      </w:r>
      <w:proofErr w:type="spellEnd"/>
      <w:r w:rsidRPr="00A653D0">
        <w:rPr>
          <w:rStyle w:val="Strong"/>
          <w:rFonts w:ascii="Times New Roman" w:eastAsiaTheme="majorEastAsia" w:hAnsi="Times New Roman"/>
          <w:b w:val="0"/>
          <w:bCs w:val="0"/>
        </w:rPr>
        <w:t xml:space="preserve"> struggles with integrating alternative data sources, the new system incorporates a rich set of technical indicators, risk metrics, and can be expanded to include sentiment and macroeconomic factors. This approach also addresses </w:t>
      </w:r>
      <w:proofErr w:type="spellStart"/>
      <w:r w:rsidRPr="00A653D0">
        <w:rPr>
          <w:rStyle w:val="Strong"/>
          <w:rFonts w:ascii="Times New Roman" w:eastAsiaTheme="majorEastAsia" w:hAnsi="Times New Roman"/>
          <w:b w:val="0"/>
          <w:bCs w:val="0"/>
        </w:rPr>
        <w:t>MetaTrader's</w:t>
      </w:r>
      <w:proofErr w:type="spellEnd"/>
      <w:r w:rsidRPr="00A653D0">
        <w:rPr>
          <w:rStyle w:val="Strong"/>
          <w:rFonts w:ascii="Times New Roman" w:eastAsiaTheme="majorEastAsia" w:hAnsi="Times New Roman"/>
          <w:b w:val="0"/>
          <w:bCs w:val="0"/>
        </w:rPr>
        <w:t xml:space="preserve"> inadequate portfolio management capabilities through sophisticated position sizing and risk budgeting.</w:t>
      </w:r>
    </w:p>
    <w:p w14:paraId="41B6E80C" w14:textId="77777777" w:rsidR="00A653D0" w:rsidRDefault="00A653D0" w:rsidP="00A653D0">
      <w:pPr>
        <w:jc w:val="both"/>
        <w:rPr>
          <w:rStyle w:val="Strong"/>
          <w:rFonts w:ascii="Times New Roman" w:eastAsiaTheme="majorEastAsia" w:hAnsi="Times New Roman"/>
          <w:b w:val="0"/>
          <w:bCs w:val="0"/>
        </w:rPr>
      </w:pPr>
    </w:p>
    <w:p w14:paraId="5E632F5C" w14:textId="77777777" w:rsidR="00A653D0" w:rsidRDefault="00A653D0" w:rsidP="00A653D0">
      <w:pPr>
        <w:jc w:val="both"/>
        <w:rPr>
          <w:rFonts w:ascii="Times New Roman" w:eastAsiaTheme="majorEastAsia" w:hAnsi="Times New Roman"/>
        </w:rPr>
      </w:pPr>
      <w:r w:rsidRPr="00A653D0">
        <w:rPr>
          <w:rFonts w:ascii="Times New Roman" w:eastAsiaTheme="majorEastAsia" w:hAnsi="Times New Roman"/>
        </w:rPr>
        <w:lastRenderedPageBreak/>
        <w:t xml:space="preserve">2. Interactive Brokers (TWS) </w:t>
      </w:r>
    </w:p>
    <w:p w14:paraId="517CF800" w14:textId="77777777" w:rsidR="00A653D0" w:rsidRDefault="00A653D0" w:rsidP="00A653D0">
      <w:pPr>
        <w:jc w:val="both"/>
        <w:rPr>
          <w:rFonts w:ascii="Times New Roman" w:eastAsiaTheme="majorEastAsia" w:hAnsi="Times New Roman"/>
        </w:rPr>
      </w:pPr>
      <w:r w:rsidRPr="00A653D0">
        <w:rPr>
          <w:rFonts w:ascii="Times New Roman" w:eastAsiaTheme="majorEastAsia" w:hAnsi="Times New Roman"/>
        </w:rPr>
        <w:t xml:space="preserve">Approach: Interactive Brokers' Trader Workstation (TWS) provides professional-grade tools for global financial market trading but requires manual strategy development and back testing. While sophisticated, it lacks built-in machine learning capabilities, making it time-consuming to develop dynamic strategies. </w:t>
      </w:r>
    </w:p>
    <w:p w14:paraId="575EDBA5" w14:textId="1E1CC9F8" w:rsidR="00A653D0" w:rsidRDefault="00A653D0" w:rsidP="00A653D0">
      <w:pPr>
        <w:jc w:val="both"/>
        <w:rPr>
          <w:rFonts w:ascii="Times New Roman" w:eastAsiaTheme="majorEastAsia" w:hAnsi="Times New Roman"/>
        </w:rPr>
      </w:pPr>
      <w:r w:rsidRPr="00A653D0">
        <w:rPr>
          <w:rFonts w:ascii="Times New Roman" w:eastAsiaTheme="majorEastAsia" w:hAnsi="Times New Roman"/>
        </w:rPr>
        <w:t>Differentiation: The DDPG3 approach automates the strategy development and optimization process through reinforcement learning, eliminating the manual effort required in TWS. While TWS users must manually adjust strategies as market conditions change, the DDPG3 architecture continuously learns and adapts in real-time. Additionally, the integrated risk management component provides more sophisticated portfolio optimization than TWS's traditional tools.</w:t>
      </w:r>
    </w:p>
    <w:p w14:paraId="23C884BD" w14:textId="77777777" w:rsidR="00A653D0" w:rsidRDefault="00A653D0" w:rsidP="00A653D0">
      <w:pPr>
        <w:jc w:val="both"/>
        <w:rPr>
          <w:rFonts w:ascii="Times New Roman" w:eastAsiaTheme="majorEastAsia" w:hAnsi="Times New Roman"/>
        </w:rPr>
      </w:pPr>
      <w:r w:rsidRPr="00A653D0">
        <w:rPr>
          <w:rFonts w:ascii="Times New Roman" w:eastAsiaTheme="majorEastAsia" w:hAnsi="Times New Roman"/>
        </w:rPr>
        <w:t xml:space="preserve">3. Bloomberg Terminal </w:t>
      </w:r>
    </w:p>
    <w:p w14:paraId="30CEBF36" w14:textId="77777777" w:rsidR="00A653D0" w:rsidRDefault="00A653D0" w:rsidP="00A653D0">
      <w:pPr>
        <w:jc w:val="both"/>
        <w:rPr>
          <w:rFonts w:ascii="Times New Roman" w:eastAsiaTheme="majorEastAsia" w:hAnsi="Times New Roman"/>
        </w:rPr>
      </w:pPr>
      <w:r w:rsidRPr="00A653D0">
        <w:rPr>
          <w:rFonts w:ascii="Times New Roman" w:eastAsiaTheme="majorEastAsia" w:hAnsi="Times New Roman"/>
        </w:rPr>
        <w:t xml:space="preserve">Approach: The Bloomberg Terminal provides professionals with real-time financial market data and trading capabilities but at a prohibitively high cost. Despite its comprehensive data, it has limited machine learning integration and struggles with dynamic portfolio management. </w:t>
      </w:r>
    </w:p>
    <w:p w14:paraId="1BC0883D" w14:textId="5E990E84" w:rsidR="00A653D0" w:rsidRPr="00A653D0" w:rsidRDefault="00A653D0" w:rsidP="00A653D0">
      <w:pPr>
        <w:jc w:val="both"/>
        <w:rPr>
          <w:rStyle w:val="Strong"/>
          <w:rFonts w:ascii="Times New Roman" w:eastAsiaTheme="majorEastAsia" w:hAnsi="Times New Roman"/>
        </w:rPr>
      </w:pPr>
      <w:r w:rsidRPr="00A653D0">
        <w:rPr>
          <w:rFonts w:ascii="Times New Roman" w:eastAsiaTheme="majorEastAsia" w:hAnsi="Times New Roman"/>
        </w:rPr>
        <w:t>Differentiation: The DDPG3 system offers advanced portfolio optimization techniques at a fraction of Bloomberg's cost. While Bloomberg's complex interface can be overwhelming for newcomers, the DDPG3 architecture provides a more transparent and interpretable approach to investment decisions. The system's ability to learn optimal risk management strategies addresses Bloomberg's limitations in dynamic portfolio management.</w:t>
      </w:r>
    </w:p>
    <w:p w14:paraId="0F197D49" w14:textId="77777777" w:rsidR="00A653D0" w:rsidRDefault="00A653D0" w:rsidP="00543FBE">
      <w:pPr>
        <w:jc w:val="both"/>
        <w:rPr>
          <w:rStyle w:val="Strong"/>
          <w:rFonts w:ascii="Times New Roman" w:eastAsiaTheme="majorEastAsia" w:hAnsi="Times New Roman"/>
        </w:rPr>
      </w:pPr>
    </w:p>
    <w:p w14:paraId="6AA27BDB" w14:textId="77777777" w:rsidR="00A653D0" w:rsidRDefault="00A653D0" w:rsidP="00543FBE">
      <w:pPr>
        <w:jc w:val="both"/>
        <w:rPr>
          <w:rFonts w:ascii="Times New Roman" w:eastAsiaTheme="majorEastAsia" w:hAnsi="Times New Roman"/>
          <w:b/>
          <w:bCs/>
        </w:rPr>
      </w:pPr>
      <w:r w:rsidRPr="00A653D0">
        <w:rPr>
          <w:rFonts w:ascii="Times New Roman" w:eastAsiaTheme="majorEastAsia" w:hAnsi="Times New Roman"/>
          <w:b/>
          <w:bCs/>
        </w:rPr>
        <w:t xml:space="preserve">Machine Learning (ML)-Powered Platforms </w:t>
      </w:r>
    </w:p>
    <w:p w14:paraId="3ACC2F4C"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4. Q</w:t>
      </w:r>
      <w:proofErr w:type="spellStart"/>
      <w:r w:rsidRPr="00A653D0">
        <w:rPr>
          <w:rFonts w:ascii="Times New Roman" w:eastAsiaTheme="majorEastAsia" w:hAnsi="Times New Roman"/>
        </w:rPr>
        <w:t>uantConnect</w:t>
      </w:r>
      <w:proofErr w:type="spellEnd"/>
      <w:r w:rsidRPr="00A653D0">
        <w:rPr>
          <w:rFonts w:ascii="Times New Roman" w:eastAsiaTheme="majorEastAsia" w:hAnsi="Times New Roman"/>
        </w:rPr>
        <w:t xml:space="preserve"> </w:t>
      </w:r>
    </w:p>
    <w:p w14:paraId="05CA5FC8"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 xml:space="preserve">Approach: </w:t>
      </w:r>
      <w:proofErr w:type="spellStart"/>
      <w:r w:rsidRPr="00A653D0">
        <w:rPr>
          <w:rFonts w:ascii="Times New Roman" w:eastAsiaTheme="majorEastAsia" w:hAnsi="Times New Roman"/>
        </w:rPr>
        <w:t>QuantConnect</w:t>
      </w:r>
      <w:proofErr w:type="spellEnd"/>
      <w:r w:rsidRPr="00A653D0">
        <w:rPr>
          <w:rFonts w:ascii="Times New Roman" w:eastAsiaTheme="majorEastAsia" w:hAnsi="Times New Roman"/>
        </w:rPr>
        <w:t xml:space="preserve"> allows users to design, </w:t>
      </w:r>
      <w:proofErr w:type="spellStart"/>
      <w:r w:rsidRPr="00A653D0">
        <w:rPr>
          <w:rFonts w:ascii="Times New Roman" w:eastAsiaTheme="majorEastAsia" w:hAnsi="Times New Roman"/>
        </w:rPr>
        <w:t>backtest</w:t>
      </w:r>
      <w:proofErr w:type="spellEnd"/>
      <w:r w:rsidRPr="00A653D0">
        <w:rPr>
          <w:rFonts w:ascii="Times New Roman" w:eastAsiaTheme="majorEastAsia" w:hAnsi="Times New Roman"/>
        </w:rPr>
        <w:t xml:space="preserve">, and deploy machine learning-based strategies with integration for libraries like TensorFlow and scikit-learn. However, it presents a steep learning curve, requires resource-intensive computation for complex strategies, and offers limited built-in ML algorithms. </w:t>
      </w:r>
    </w:p>
    <w:p w14:paraId="65839615" w14:textId="463F4F1A" w:rsidR="00A653D0" w:rsidRPr="00A653D0" w:rsidRDefault="00A653D0" w:rsidP="00543FBE">
      <w:pPr>
        <w:jc w:val="both"/>
        <w:rPr>
          <w:rStyle w:val="Strong"/>
          <w:rFonts w:ascii="Times New Roman" w:eastAsiaTheme="majorEastAsia" w:hAnsi="Times New Roman"/>
        </w:rPr>
      </w:pPr>
      <w:r w:rsidRPr="00A653D0">
        <w:rPr>
          <w:rFonts w:ascii="Times New Roman" w:eastAsiaTheme="majorEastAsia" w:hAnsi="Times New Roman"/>
        </w:rPr>
        <w:t xml:space="preserve">Differentiation: The DDPG3 system provides ready-to-use reinforcement learning architecture specialized for portfolio management, eliminating the need to build ML models from scratch. The integrated optimization approach achieves superior results with lower computational overhead compared to </w:t>
      </w:r>
      <w:proofErr w:type="spellStart"/>
      <w:r w:rsidRPr="00A653D0">
        <w:rPr>
          <w:rFonts w:ascii="Times New Roman" w:eastAsiaTheme="majorEastAsia" w:hAnsi="Times New Roman"/>
        </w:rPr>
        <w:t>QuantConnect's</w:t>
      </w:r>
      <w:proofErr w:type="spellEnd"/>
      <w:r w:rsidRPr="00A653D0">
        <w:rPr>
          <w:rFonts w:ascii="Times New Roman" w:eastAsiaTheme="majorEastAsia" w:hAnsi="Times New Roman"/>
        </w:rPr>
        <w:t xml:space="preserve"> general-purpose ML integration. While </w:t>
      </w:r>
      <w:proofErr w:type="spellStart"/>
      <w:r w:rsidRPr="00A653D0">
        <w:rPr>
          <w:rFonts w:ascii="Times New Roman" w:eastAsiaTheme="majorEastAsia" w:hAnsi="Times New Roman"/>
        </w:rPr>
        <w:t>QuantConnect</w:t>
      </w:r>
      <w:proofErr w:type="spellEnd"/>
      <w:r w:rsidRPr="00A653D0">
        <w:rPr>
          <w:rFonts w:ascii="Times New Roman" w:eastAsiaTheme="majorEastAsia" w:hAnsi="Times New Roman"/>
        </w:rPr>
        <w:t xml:space="preserve"> users must create their own portfolio optimization logic, the DDPG3 system has this capability built into its core architecture.</w:t>
      </w:r>
    </w:p>
    <w:p w14:paraId="7BA2AB6D" w14:textId="77777777" w:rsidR="0099341B" w:rsidRDefault="0099341B" w:rsidP="00543FBE">
      <w:pPr>
        <w:jc w:val="both"/>
        <w:rPr>
          <w:rStyle w:val="Strong"/>
          <w:rFonts w:ascii="Times New Roman" w:eastAsiaTheme="majorEastAsia" w:hAnsi="Times New Roman"/>
        </w:rPr>
      </w:pPr>
    </w:p>
    <w:p w14:paraId="1C5105FE"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5. Alpaca</w:t>
      </w:r>
    </w:p>
    <w:p w14:paraId="19390D38"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 xml:space="preserve">Approach: Alpaca offers a commission-free trading platform with API access for algorithmic trading but lacks native ML support. Users must build their own models from scratch and </w:t>
      </w:r>
      <w:r w:rsidRPr="00A653D0">
        <w:rPr>
          <w:rFonts w:ascii="Times New Roman" w:eastAsiaTheme="majorEastAsia" w:hAnsi="Times New Roman"/>
        </w:rPr>
        <w:lastRenderedPageBreak/>
        <w:t xml:space="preserve">integrate them with Alpaca's API, requiring significant custom development. It also has limited risk management tools. </w:t>
      </w:r>
    </w:p>
    <w:p w14:paraId="343EE778"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 xml:space="preserve">Differentiation: The DDPG3 system provides a pre-built, specialized RL algorithm for both allocation and risk management, eliminating the extensive custom development needed with Alpaca. While Alpaca users must develop their own risk management framework, the DDPG3 component handles this automatically with sophisticated position sizing and risk budgeting. This integrated approach also eliminates the need to connect disparate systems, as would be required when using Alpaca with custom ML models. </w:t>
      </w:r>
    </w:p>
    <w:p w14:paraId="0CB0285E" w14:textId="77777777" w:rsidR="00A653D0" w:rsidRPr="00A653D0" w:rsidRDefault="00A653D0" w:rsidP="00543FBE">
      <w:pPr>
        <w:jc w:val="both"/>
        <w:rPr>
          <w:rFonts w:ascii="Times New Roman" w:eastAsiaTheme="majorEastAsia" w:hAnsi="Times New Roman"/>
        </w:rPr>
      </w:pPr>
    </w:p>
    <w:p w14:paraId="7361BEE8"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6. Q</w:t>
      </w:r>
      <w:proofErr w:type="spellStart"/>
      <w:r w:rsidRPr="00A653D0">
        <w:rPr>
          <w:rFonts w:ascii="Times New Roman" w:eastAsiaTheme="majorEastAsia" w:hAnsi="Times New Roman"/>
        </w:rPr>
        <w:t>uantopian</w:t>
      </w:r>
      <w:proofErr w:type="spellEnd"/>
      <w:r w:rsidRPr="00A653D0">
        <w:rPr>
          <w:rFonts w:ascii="Times New Roman" w:eastAsiaTheme="majorEastAsia" w:hAnsi="Times New Roman"/>
        </w:rPr>
        <w:t xml:space="preserve"> </w:t>
      </w:r>
    </w:p>
    <w:p w14:paraId="15EC04EB" w14:textId="77777777" w:rsidR="00A653D0" w:rsidRPr="00A653D0" w:rsidRDefault="00A653D0" w:rsidP="00543FBE">
      <w:pPr>
        <w:jc w:val="both"/>
        <w:rPr>
          <w:rFonts w:ascii="Times New Roman" w:eastAsiaTheme="majorEastAsia" w:hAnsi="Times New Roman"/>
        </w:rPr>
      </w:pPr>
      <w:r w:rsidRPr="00A653D0">
        <w:rPr>
          <w:rFonts w:ascii="Times New Roman" w:eastAsiaTheme="majorEastAsia" w:hAnsi="Times New Roman"/>
        </w:rPr>
        <w:t xml:space="preserve">Approach: </w:t>
      </w:r>
      <w:proofErr w:type="spellStart"/>
      <w:r w:rsidRPr="00A653D0">
        <w:rPr>
          <w:rFonts w:ascii="Times New Roman" w:eastAsiaTheme="majorEastAsia" w:hAnsi="Times New Roman"/>
        </w:rPr>
        <w:t>Quantopian</w:t>
      </w:r>
      <w:proofErr w:type="spellEnd"/>
      <w:r w:rsidRPr="00A653D0">
        <w:rPr>
          <w:rFonts w:ascii="Times New Roman" w:eastAsiaTheme="majorEastAsia" w:hAnsi="Times New Roman"/>
        </w:rPr>
        <w:t xml:space="preserve"> was a popular algorithmic trading platform that allowed users to create and </w:t>
      </w:r>
      <w:proofErr w:type="spellStart"/>
      <w:r w:rsidRPr="00A653D0">
        <w:rPr>
          <w:rFonts w:ascii="Times New Roman" w:eastAsiaTheme="majorEastAsia" w:hAnsi="Times New Roman"/>
        </w:rPr>
        <w:t>backtest</w:t>
      </w:r>
      <w:proofErr w:type="spellEnd"/>
      <w:r w:rsidRPr="00A653D0">
        <w:rPr>
          <w:rFonts w:ascii="Times New Roman" w:eastAsiaTheme="majorEastAsia" w:hAnsi="Times New Roman"/>
        </w:rPr>
        <w:t xml:space="preserve"> ML-based strategies using Python. However, it has been discontinued, required integration with external brokers, and lacked focus on portfolio optimization. </w:t>
      </w:r>
    </w:p>
    <w:p w14:paraId="23AF0233" w14:textId="07E5CCBC" w:rsidR="00A653D0" w:rsidRDefault="00A653D0" w:rsidP="00543FBE">
      <w:pPr>
        <w:jc w:val="both"/>
        <w:rPr>
          <w:rFonts w:ascii="Times New Roman" w:eastAsiaTheme="majorEastAsia" w:hAnsi="Times New Roman"/>
        </w:rPr>
      </w:pPr>
      <w:r w:rsidRPr="00A653D0">
        <w:rPr>
          <w:rFonts w:ascii="Times New Roman" w:eastAsiaTheme="majorEastAsia" w:hAnsi="Times New Roman"/>
        </w:rPr>
        <w:t xml:space="preserve">Differentiation: The DDPG3 system addresses </w:t>
      </w:r>
      <w:proofErr w:type="spellStart"/>
      <w:r w:rsidRPr="00A653D0">
        <w:rPr>
          <w:rFonts w:ascii="Times New Roman" w:eastAsiaTheme="majorEastAsia" w:hAnsi="Times New Roman"/>
        </w:rPr>
        <w:t>Quantopian's</w:t>
      </w:r>
      <w:proofErr w:type="spellEnd"/>
      <w:r w:rsidRPr="00A653D0">
        <w:rPr>
          <w:rFonts w:ascii="Times New Roman" w:eastAsiaTheme="majorEastAsia" w:hAnsi="Times New Roman"/>
        </w:rPr>
        <w:t xml:space="preserve"> limitations by providing a comprehensive solution that includes both strategy development and portfolio optimization in one integrated platform. While </w:t>
      </w:r>
      <w:proofErr w:type="spellStart"/>
      <w:r w:rsidRPr="00A653D0">
        <w:rPr>
          <w:rFonts w:ascii="Times New Roman" w:eastAsiaTheme="majorEastAsia" w:hAnsi="Times New Roman"/>
        </w:rPr>
        <w:t>Quantopian</w:t>
      </w:r>
      <w:proofErr w:type="spellEnd"/>
      <w:r w:rsidRPr="00A653D0">
        <w:rPr>
          <w:rFonts w:ascii="Times New Roman" w:eastAsiaTheme="majorEastAsia" w:hAnsi="Times New Roman"/>
        </w:rPr>
        <w:t xml:space="preserve"> focused primarily on individual trading algorithms, the DDPG3 approach explicitly addresses portfolio-level optimization and risk management. The system also offers more specialized reinforcement learning algorithms tailored to financial markets versus </w:t>
      </w:r>
      <w:proofErr w:type="spellStart"/>
      <w:r w:rsidRPr="00A653D0">
        <w:rPr>
          <w:rFonts w:ascii="Times New Roman" w:eastAsiaTheme="majorEastAsia" w:hAnsi="Times New Roman"/>
        </w:rPr>
        <w:t>Quantopian's</w:t>
      </w:r>
      <w:proofErr w:type="spellEnd"/>
      <w:r w:rsidRPr="00A653D0">
        <w:rPr>
          <w:rFonts w:ascii="Times New Roman" w:eastAsiaTheme="majorEastAsia" w:hAnsi="Times New Roman"/>
        </w:rPr>
        <w:t xml:space="preserve"> general-purpose ML tools.</w:t>
      </w:r>
    </w:p>
    <w:p w14:paraId="4A33F14C" w14:textId="77777777" w:rsidR="00A653D0" w:rsidRPr="00A653D0" w:rsidRDefault="00A653D0" w:rsidP="00543FBE">
      <w:pPr>
        <w:jc w:val="both"/>
        <w:rPr>
          <w:rStyle w:val="Strong"/>
          <w:rFonts w:ascii="Times New Roman" w:eastAsiaTheme="majorEastAsia" w:hAnsi="Times New Roman"/>
        </w:rPr>
      </w:pPr>
    </w:p>
    <w:p w14:paraId="6E6CCA7F" w14:textId="0A9B1C8B" w:rsidR="00B0020B" w:rsidRPr="00414A11" w:rsidRDefault="00B0020B" w:rsidP="00543FBE">
      <w:pPr>
        <w:jc w:val="both"/>
        <w:rPr>
          <w:rFonts w:ascii="Times New Roman" w:hAnsi="Times New Roman" w:cs="Times New Roman"/>
          <w:b/>
          <w:bCs/>
          <w:sz w:val="28"/>
        </w:rPr>
      </w:pPr>
      <w:r w:rsidRPr="00414A11">
        <w:rPr>
          <w:rStyle w:val="Strong"/>
          <w:rFonts w:ascii="Times New Roman" w:eastAsiaTheme="majorEastAsia" w:hAnsi="Times New Roman"/>
          <w:sz w:val="28"/>
        </w:rPr>
        <w:t>TARGET AUDIENCE AND PROJECT SCOPE</w:t>
      </w:r>
    </w:p>
    <w:p w14:paraId="428C1BF3" w14:textId="77777777" w:rsidR="0099341B" w:rsidRPr="0099341B" w:rsidRDefault="0099341B" w:rsidP="00B0640B">
      <w:pPr>
        <w:jc w:val="both"/>
        <w:rPr>
          <w:rFonts w:ascii="Times New Roman" w:hAnsi="Times New Roman"/>
        </w:rPr>
      </w:pPr>
      <w:r w:rsidRPr="0099341B">
        <w:rPr>
          <w:rFonts w:ascii="Times New Roman" w:hAnsi="Times New Roman"/>
        </w:rPr>
        <w:t>The project addresses the significant knowledge and resource gap faced by individuals involved in financial trading, particularly on the Toronto Stock Exchange (TSX).</w:t>
      </w:r>
    </w:p>
    <w:p w14:paraId="20562C9C" w14:textId="778EF64F" w:rsidR="00B0640B" w:rsidRPr="00B0640B" w:rsidRDefault="00B0640B" w:rsidP="00B0640B">
      <w:pPr>
        <w:jc w:val="both"/>
        <w:rPr>
          <w:rFonts w:ascii="Times New Roman" w:hAnsi="Times New Roman"/>
          <w:b/>
          <w:bCs/>
        </w:rPr>
      </w:pPr>
      <w:r w:rsidRPr="00B0640B">
        <w:rPr>
          <w:rFonts w:ascii="Times New Roman" w:hAnsi="Times New Roman"/>
          <w:b/>
          <w:bCs/>
        </w:rPr>
        <w:t>Market Reach</w:t>
      </w:r>
    </w:p>
    <w:p w14:paraId="37192FA0" w14:textId="3ECEB05D" w:rsidR="00B0640B" w:rsidRDefault="00B0640B" w:rsidP="00543FBE">
      <w:pPr>
        <w:jc w:val="both"/>
        <w:rPr>
          <w:rFonts w:ascii="Times New Roman" w:hAnsi="Times New Roman"/>
        </w:rPr>
      </w:pPr>
      <w:r w:rsidRPr="00B0640B">
        <w:rPr>
          <w:rFonts w:ascii="Times New Roman" w:hAnsi="Times New Roman"/>
        </w:rPr>
        <w:t>The scope of this project extends beyond traditional portfolio management tools to offer transformative potential across multiple domains. With the online trading market growing at 15% CAGR, our solution addresses an expanding audience of tech-savvy traders who represent over $29.2 trillion in investable assets. This unprecedented market opportunity positions our project to become a cornerstone technology in the democratization of advanced portfolio management.</w:t>
      </w:r>
    </w:p>
    <w:p w14:paraId="4C63BE12" w14:textId="77777777" w:rsidR="00B0640B" w:rsidRPr="001A411E" w:rsidRDefault="00B0640B" w:rsidP="00B0640B">
      <w:pPr>
        <w:jc w:val="both"/>
        <w:rPr>
          <w:rFonts w:ascii="Times New Roman" w:hAnsi="Times New Roman"/>
          <w:b/>
          <w:bCs/>
        </w:rPr>
      </w:pPr>
      <w:r w:rsidRPr="001A411E">
        <w:rPr>
          <w:rFonts w:ascii="Times New Roman" w:hAnsi="Times New Roman"/>
          <w:b/>
          <w:bCs/>
        </w:rPr>
        <w:t>Target Audience</w:t>
      </w:r>
    </w:p>
    <w:p w14:paraId="1DB4BCB1" w14:textId="2B934848" w:rsidR="0099341B" w:rsidRPr="0099341B" w:rsidRDefault="00B0640B" w:rsidP="0099341B">
      <w:pPr>
        <w:spacing w:after="0"/>
        <w:jc w:val="both"/>
        <w:rPr>
          <w:rFonts w:ascii="Times New Roman" w:hAnsi="Times New Roman"/>
        </w:rPr>
      </w:pPr>
      <w:r w:rsidRPr="00B0640B">
        <w:rPr>
          <w:rFonts w:ascii="Times New Roman" w:hAnsi="Times New Roman"/>
        </w:rPr>
        <w:t>This project addresses both institutional stakeholders and the retail trading market</w:t>
      </w:r>
      <w:r w:rsidR="0099341B">
        <w:rPr>
          <w:rFonts w:ascii="Times New Roman" w:hAnsi="Times New Roman"/>
        </w:rPr>
        <w:t>, we</w:t>
      </w:r>
      <w:r>
        <w:rPr>
          <w:rFonts w:ascii="Times New Roman" w:hAnsi="Times New Roman"/>
        </w:rPr>
        <w:t xml:space="preserve"> mainly focus on retail trader and beginner trader</w:t>
      </w:r>
      <w:r>
        <w:t>s</w:t>
      </w:r>
      <w:r w:rsidRPr="00B0640B">
        <w:rPr>
          <w:rFonts w:ascii="Times New Roman" w:hAnsi="Times New Roman"/>
        </w:rPr>
        <w:t>, with a particular focus on Canadian investors who trade on the Toronto Stock Exchange (TSX).</w:t>
      </w:r>
      <w:r>
        <w:rPr>
          <w:rFonts w:ascii="Times New Roman" w:hAnsi="Times New Roman"/>
        </w:rPr>
        <w:t xml:space="preserve"> </w:t>
      </w:r>
      <w:r w:rsidRPr="00B0640B">
        <w:rPr>
          <w:rFonts w:ascii="Times New Roman" w:hAnsi="Times New Roman"/>
        </w:rPr>
        <w:t xml:space="preserve">Retail traders are at a significant disadvantage compared to institutional investors, with over 75% losing money annually due to ineffective portfolio strategies and inadequate risk management. Most existing solutions for Canadian retail investors are either too generic, offering static pre-defined strategies without </w:t>
      </w:r>
      <w:r w:rsidRPr="00B0640B">
        <w:rPr>
          <w:rFonts w:ascii="Times New Roman" w:hAnsi="Times New Roman"/>
        </w:rPr>
        <w:lastRenderedPageBreak/>
        <w:t xml:space="preserve">consideration for TSX-specific factors, or too complex for non-professional users. </w:t>
      </w:r>
      <w:r w:rsidR="0099341B" w:rsidRPr="0099341B">
        <w:rPr>
          <w:rFonts w:ascii="Times New Roman" w:hAnsi="Times New Roman"/>
        </w:rPr>
        <w:t>Most existing solutions for Canadian retail investors are either too generic, offering static pre-defined strategies without consideration for TSX-specific factors, or too complex for non-professional users. Our target audience within the Canadian retail sector</w:t>
      </w:r>
      <w:r w:rsidR="0099341B">
        <w:rPr>
          <w:rFonts w:ascii="Times New Roman" w:hAnsi="Times New Roman"/>
        </w:rPr>
        <w:t xml:space="preserve"> i</w:t>
      </w:r>
      <w:r w:rsidR="0099341B" w:rsidRPr="0099341B">
        <w:rPr>
          <w:rFonts w:ascii="Times New Roman" w:hAnsi="Times New Roman"/>
        </w:rPr>
        <w:t>ncludes:</w:t>
      </w:r>
    </w:p>
    <w:p w14:paraId="39B79D4E" w14:textId="77777777" w:rsidR="0099341B" w:rsidRPr="0099341B" w:rsidRDefault="0099341B" w:rsidP="0099341B">
      <w:pPr>
        <w:spacing w:after="0"/>
        <w:jc w:val="both"/>
        <w:rPr>
          <w:rFonts w:ascii="Times New Roman" w:hAnsi="Times New Roman"/>
        </w:rPr>
      </w:pPr>
    </w:p>
    <w:p w14:paraId="541A8C5B" w14:textId="5012D84A" w:rsidR="0099341B" w:rsidRPr="0099341B" w:rsidRDefault="0099341B" w:rsidP="0099341B">
      <w:pPr>
        <w:pStyle w:val="ListParagraph"/>
        <w:numPr>
          <w:ilvl w:val="0"/>
          <w:numId w:val="3"/>
        </w:numPr>
        <w:spacing w:after="0"/>
        <w:jc w:val="both"/>
        <w:rPr>
          <w:rFonts w:ascii="Times New Roman" w:hAnsi="Times New Roman"/>
        </w:rPr>
      </w:pPr>
      <w:r w:rsidRPr="0099341B">
        <w:rPr>
          <w:rFonts w:ascii="Times New Roman" w:hAnsi="Times New Roman"/>
        </w:rPr>
        <w:t>Active individual investors ranging from beginners to intermediate-level traders</w:t>
      </w:r>
    </w:p>
    <w:p w14:paraId="198762CA" w14:textId="28179D00" w:rsidR="0099341B" w:rsidRPr="0099341B" w:rsidRDefault="0099341B" w:rsidP="0099341B">
      <w:pPr>
        <w:pStyle w:val="ListParagraph"/>
        <w:numPr>
          <w:ilvl w:val="0"/>
          <w:numId w:val="3"/>
        </w:numPr>
        <w:spacing w:after="0"/>
        <w:jc w:val="both"/>
        <w:rPr>
          <w:rFonts w:ascii="Times New Roman" w:hAnsi="Times New Roman"/>
        </w:rPr>
      </w:pPr>
      <w:r w:rsidRPr="0099341B">
        <w:rPr>
          <w:rFonts w:ascii="Times New Roman" w:hAnsi="Times New Roman"/>
        </w:rPr>
        <w:t>Tech-savvy millennials and Gen Z who prefer modern AI-driven tools</w:t>
      </w:r>
    </w:p>
    <w:p w14:paraId="3C7B8A1C" w14:textId="1EA7458B" w:rsidR="00B0640B" w:rsidRPr="0099341B" w:rsidRDefault="0099341B" w:rsidP="0099341B">
      <w:pPr>
        <w:pStyle w:val="ListParagraph"/>
        <w:numPr>
          <w:ilvl w:val="0"/>
          <w:numId w:val="3"/>
        </w:numPr>
        <w:spacing w:after="0"/>
        <w:jc w:val="both"/>
        <w:rPr>
          <w:rFonts w:ascii="Times New Roman" w:hAnsi="Times New Roman"/>
        </w:rPr>
      </w:pPr>
      <w:r w:rsidRPr="0099341B">
        <w:rPr>
          <w:rFonts w:ascii="Times New Roman" w:hAnsi="Times New Roman"/>
        </w:rPr>
        <w:t>Part-time traders who need efficient portfolio management solutions with minimal time investment specifically for their TSX-focused portfolios</w:t>
      </w:r>
    </w:p>
    <w:p w14:paraId="57FCD14C" w14:textId="77777777" w:rsidR="0099341B" w:rsidRPr="0099341B" w:rsidRDefault="0099341B" w:rsidP="0099341B">
      <w:pPr>
        <w:spacing w:after="0"/>
        <w:jc w:val="both"/>
        <w:rPr>
          <w:rFonts w:ascii="Times New Roman" w:hAnsi="Times New Roman"/>
        </w:rPr>
      </w:pPr>
    </w:p>
    <w:p w14:paraId="262D3639" w14:textId="77777777" w:rsidR="001A411E" w:rsidRDefault="001A411E" w:rsidP="00B0640B">
      <w:pPr>
        <w:spacing w:after="0"/>
        <w:jc w:val="both"/>
        <w:rPr>
          <w:rFonts w:ascii="Times New Roman" w:hAnsi="Times New Roman"/>
        </w:rPr>
      </w:pPr>
    </w:p>
    <w:p w14:paraId="3EC90035" w14:textId="77777777" w:rsidR="001A411E" w:rsidRPr="001A411E" w:rsidRDefault="001A411E" w:rsidP="001A411E">
      <w:pPr>
        <w:spacing w:before="100" w:beforeAutospacing="1" w:after="100" w:afterAutospacing="1" w:line="240" w:lineRule="auto"/>
        <w:outlineLvl w:val="2"/>
        <w:rPr>
          <w:rFonts w:ascii="Times New Roman" w:eastAsia="Times New Roman" w:hAnsi="Times New Roman" w:cs="Times New Roman"/>
          <w:b/>
          <w:bCs/>
          <w:kern w:val="0"/>
          <w:szCs w:val="27"/>
          <w:lang w:eastAsia="en-IN"/>
          <w14:ligatures w14:val="none"/>
        </w:rPr>
      </w:pPr>
      <w:r w:rsidRPr="001A411E">
        <w:rPr>
          <w:rFonts w:ascii="Times New Roman" w:eastAsia="Times New Roman" w:hAnsi="Times New Roman" w:cs="Times New Roman"/>
          <w:b/>
          <w:bCs/>
          <w:kern w:val="0"/>
          <w:szCs w:val="27"/>
          <w:lang w:eastAsia="en-IN"/>
          <w14:ligatures w14:val="none"/>
        </w:rPr>
        <w:t>Financial Impact</w:t>
      </w:r>
    </w:p>
    <w:p w14:paraId="4019C613" w14:textId="77777777" w:rsidR="001A411E" w:rsidRDefault="001A411E" w:rsidP="001A41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411E">
        <w:rPr>
          <w:rFonts w:ascii="Times New Roman" w:eastAsia="Times New Roman" w:hAnsi="Times New Roman" w:cs="Times New Roman"/>
          <w:kern w:val="0"/>
          <w:lang w:eastAsia="en-IN"/>
          <w14:ligatures w14:val="none"/>
        </w:rPr>
        <w:t>With 75% of retail traders currently losing money annually, the potential financial impact is substantial. Even a modest improvement in success rates could translate to billions in preserved capital across the retail segment, with the system's risk management component specifically targeting the reduction of catastrophic losses. This financial protection aspect creates significant societal value beyond pure investment returns, potentially changing the narrative around retail participation in financial markets from wealth destruction to wealth creation.</w:t>
      </w:r>
    </w:p>
    <w:p w14:paraId="6C746E07" w14:textId="77777777" w:rsidR="00363382" w:rsidRPr="00363382" w:rsidRDefault="00363382" w:rsidP="003633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63382">
        <w:rPr>
          <w:rFonts w:ascii="Times New Roman" w:eastAsia="Times New Roman" w:hAnsi="Times New Roman" w:cs="Times New Roman"/>
          <w:b/>
          <w:bCs/>
          <w:kern w:val="0"/>
          <w:sz w:val="27"/>
          <w:szCs w:val="27"/>
          <w:lang w:eastAsia="en-IN"/>
          <w14:ligatures w14:val="none"/>
        </w:rPr>
        <w:t>Technical Application</w:t>
      </w:r>
    </w:p>
    <w:p w14:paraId="49ADFA81" w14:textId="0108F50C" w:rsidR="00363382" w:rsidRPr="00363382" w:rsidRDefault="00363382" w:rsidP="00363382">
      <w:pPr>
        <w:spacing w:before="100" w:beforeAutospacing="1" w:after="100" w:afterAutospacing="1" w:line="240" w:lineRule="auto"/>
        <w:rPr>
          <w:rFonts w:ascii="Times New Roman" w:eastAsia="Times New Roman" w:hAnsi="Times New Roman" w:cs="Times New Roman"/>
          <w:kern w:val="0"/>
          <w:lang w:eastAsia="en-IN"/>
          <w14:ligatures w14:val="none"/>
        </w:rPr>
      </w:pPr>
      <w:r w:rsidRPr="00363382">
        <w:rPr>
          <w:rFonts w:ascii="Times New Roman" w:eastAsia="Times New Roman" w:hAnsi="Times New Roman" w:cs="Times New Roman"/>
          <w:kern w:val="0"/>
          <w:lang w:eastAsia="en-IN"/>
          <w14:ligatures w14:val="none"/>
        </w:rPr>
        <w:t xml:space="preserve">The technical scope encompasses application across multiple asset classes primarily focused on the Toronto Stock Exchange (TSX). The system has been specifically trained on Canadian securities, making it particularly valuable for investors in the Canadian market. The model can analyse </w:t>
      </w:r>
      <w:r>
        <w:rPr>
          <w:rFonts w:ascii="Times New Roman" w:eastAsia="Times New Roman" w:hAnsi="Times New Roman" w:cs="Times New Roman"/>
          <w:kern w:val="0"/>
          <w:lang w:eastAsia="en-IN"/>
          <w14:ligatures w14:val="none"/>
        </w:rPr>
        <w:t>almost entire</w:t>
      </w:r>
      <w:r w:rsidRPr="00363382">
        <w:rPr>
          <w:rFonts w:ascii="Times New Roman" w:eastAsia="Times New Roman" w:hAnsi="Times New Roman" w:cs="Times New Roman"/>
          <w:kern w:val="0"/>
          <w:lang w:eastAsia="en-IN"/>
          <w14:ligatures w14:val="none"/>
        </w:rPr>
        <w:t xml:space="preserve"> TSX-listed securities simultaneously, making it scalable to cover entire market segments or indices of the Canadian market, with potential to extend to global markets in future iterations. This specialized focus on the TSX provides Canadian retail investors with a tailored solution that understands the unique characteristics and behaviours of their domestic market, while the architecture remains adaptable for expansion to other markets.</w:t>
      </w:r>
    </w:p>
    <w:p w14:paraId="0FDE88D8" w14:textId="77777777" w:rsidR="0099341B" w:rsidRDefault="0099341B" w:rsidP="00543FBE">
      <w:pPr>
        <w:jc w:val="both"/>
        <w:rPr>
          <w:rFonts w:ascii="Times New Roman" w:hAnsi="Times New Roman" w:cs="Times New Roman"/>
          <w:b/>
          <w:bCs/>
        </w:rPr>
      </w:pPr>
    </w:p>
    <w:p w14:paraId="6AB1A908" w14:textId="2A9777E0" w:rsidR="00543FBE" w:rsidRPr="00414A11" w:rsidRDefault="00543FBE" w:rsidP="00543FBE">
      <w:pPr>
        <w:jc w:val="both"/>
        <w:rPr>
          <w:rFonts w:ascii="Times New Roman" w:hAnsi="Times New Roman" w:cs="Times New Roman"/>
          <w:b/>
          <w:bCs/>
          <w:sz w:val="28"/>
        </w:rPr>
      </w:pPr>
      <w:r w:rsidRPr="00414A11">
        <w:rPr>
          <w:rFonts w:ascii="Times New Roman" w:hAnsi="Times New Roman" w:cs="Times New Roman"/>
          <w:b/>
          <w:bCs/>
          <w:sz w:val="28"/>
        </w:rPr>
        <w:t>RESEARCH</w:t>
      </w:r>
    </w:p>
    <w:p w14:paraId="3CAE8201" w14:textId="77777777"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Approaches, Tools, and Techniques Tried</w:t>
      </w:r>
    </w:p>
    <w:p w14:paraId="0DBE4200" w14:textId="77777777"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 xml:space="preserve">Initial Framework Selection: </w:t>
      </w:r>
      <w:proofErr w:type="spellStart"/>
      <w:r w:rsidRPr="00543FBE">
        <w:rPr>
          <w:rFonts w:ascii="Times New Roman" w:hAnsi="Times New Roman" w:cs="Times New Roman"/>
          <w:b/>
          <w:bCs/>
        </w:rPr>
        <w:t>FinRL</w:t>
      </w:r>
      <w:proofErr w:type="spellEnd"/>
    </w:p>
    <w:p w14:paraId="56F6A11D"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 xml:space="preserve">The project began with the implementation of </w:t>
      </w:r>
      <w:proofErr w:type="spellStart"/>
      <w:r w:rsidRPr="00543FBE">
        <w:rPr>
          <w:rFonts w:ascii="Times New Roman" w:hAnsi="Times New Roman" w:cs="Times New Roman"/>
          <w:bCs/>
        </w:rPr>
        <w:t>FinRL</w:t>
      </w:r>
      <w:proofErr w:type="spellEnd"/>
      <w:r w:rsidRPr="00543FBE">
        <w:rPr>
          <w:rFonts w:ascii="Times New Roman" w:hAnsi="Times New Roman" w:cs="Times New Roman"/>
          <w:bCs/>
        </w:rPr>
        <w:t>, an open-source framework specifically designed for applying deep reinforcement learning (DRL) in quantitative finance. Several compelling reasons motivated this initial choice:</w:t>
      </w:r>
    </w:p>
    <w:p w14:paraId="4E8FA855"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
          <w:bCs/>
        </w:rPr>
        <w:t>Integration with Yahoo Finance</w:t>
      </w:r>
      <w:r w:rsidRPr="00543FBE">
        <w:rPr>
          <w:rFonts w:ascii="Times New Roman" w:hAnsi="Times New Roman" w:cs="Times New Roman"/>
          <w:bCs/>
        </w:rPr>
        <w:t xml:space="preserve">: Yahoo Finance provides comprehensive financial data, including stock quotes, historical prices, and financial metrics. </w:t>
      </w:r>
      <w:proofErr w:type="spellStart"/>
      <w:r w:rsidRPr="00543FBE">
        <w:rPr>
          <w:rFonts w:ascii="Times New Roman" w:hAnsi="Times New Roman" w:cs="Times New Roman"/>
          <w:bCs/>
        </w:rPr>
        <w:t>FinRL's</w:t>
      </w:r>
      <w:proofErr w:type="spellEnd"/>
      <w:r w:rsidRPr="00543FBE">
        <w:rPr>
          <w:rFonts w:ascii="Times New Roman" w:hAnsi="Times New Roman" w:cs="Times New Roman"/>
          <w:bCs/>
        </w:rPr>
        <w:t xml:space="preserve"> built-in integration </w:t>
      </w:r>
      <w:r w:rsidRPr="00543FBE">
        <w:rPr>
          <w:rFonts w:ascii="Times New Roman" w:hAnsi="Times New Roman" w:cs="Times New Roman"/>
          <w:bCs/>
        </w:rPr>
        <w:lastRenderedPageBreak/>
        <w:t>significantly streamlined the data collection process, particularly for Toronto Stock Exchange data required by this project. This integration promised to eliminate the typically tedious process of financial data acquisition and preprocessing, allowing for more focus on algorithm development.</w:t>
      </w:r>
    </w:p>
    <w:p w14:paraId="783993B3"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
          <w:bCs/>
        </w:rPr>
        <w:t>Pre-built State-of-the-Art RL Models</w:t>
      </w:r>
      <w:r w:rsidRPr="00543FBE">
        <w:rPr>
          <w:rFonts w:ascii="Times New Roman" w:hAnsi="Times New Roman" w:cs="Times New Roman"/>
          <w:bCs/>
        </w:rPr>
        <w:t xml:space="preserve">: </w:t>
      </w:r>
      <w:proofErr w:type="spellStart"/>
      <w:r w:rsidRPr="00543FBE">
        <w:rPr>
          <w:rFonts w:ascii="Times New Roman" w:hAnsi="Times New Roman" w:cs="Times New Roman"/>
          <w:bCs/>
        </w:rPr>
        <w:t>FinRL</w:t>
      </w:r>
      <w:proofErr w:type="spellEnd"/>
      <w:r w:rsidRPr="00543FBE">
        <w:rPr>
          <w:rFonts w:ascii="Times New Roman" w:hAnsi="Times New Roman" w:cs="Times New Roman"/>
          <w:bCs/>
        </w:rPr>
        <w:t xml:space="preserve"> offered a range of pre-implemented reinforcement learning algorithms specifically tuned for financial applications, including Proximal Policy Optimization (PPO), Advantage Actor-Critic (A2C), and Soft Actor-Critic (SAC). These implementations provided a valuable starting point, potentially reducing development time by eliminating the need to build these algorithms from scratch.</w:t>
      </w:r>
    </w:p>
    <w:p w14:paraId="53E43D87"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
          <w:bCs/>
        </w:rPr>
        <w:t>Integrated Financial Indicators</w:t>
      </w:r>
      <w:r w:rsidRPr="00543FBE">
        <w:rPr>
          <w:rFonts w:ascii="Times New Roman" w:hAnsi="Times New Roman" w:cs="Times New Roman"/>
          <w:bCs/>
        </w:rPr>
        <w:t xml:space="preserve">: One of </w:t>
      </w:r>
      <w:proofErr w:type="spellStart"/>
      <w:r w:rsidRPr="00543FBE">
        <w:rPr>
          <w:rFonts w:ascii="Times New Roman" w:hAnsi="Times New Roman" w:cs="Times New Roman"/>
          <w:bCs/>
        </w:rPr>
        <w:t>FinRL's</w:t>
      </w:r>
      <w:proofErr w:type="spellEnd"/>
      <w:r w:rsidRPr="00543FBE">
        <w:rPr>
          <w:rFonts w:ascii="Times New Roman" w:hAnsi="Times New Roman" w:cs="Times New Roman"/>
          <w:bCs/>
        </w:rPr>
        <w:t xml:space="preserve"> most attractive features was its capability to automatically calculate and incorporate technical indicators into the dataset without requiring explicit implementation. These indicators—including moving averages, relative strength index (RSI), MACD, and Bollinger Bands—are crucial for providing context and additional information about stock </w:t>
      </w:r>
      <w:proofErr w:type="spellStart"/>
      <w:r w:rsidRPr="00543FBE">
        <w:rPr>
          <w:rFonts w:ascii="Times New Roman" w:hAnsi="Times New Roman" w:cs="Times New Roman"/>
          <w:bCs/>
        </w:rPr>
        <w:t>behavior</w:t>
      </w:r>
      <w:proofErr w:type="spellEnd"/>
      <w:r w:rsidRPr="00543FBE">
        <w:rPr>
          <w:rFonts w:ascii="Times New Roman" w:hAnsi="Times New Roman" w:cs="Times New Roman"/>
          <w:bCs/>
        </w:rPr>
        <w:t xml:space="preserve"> patterns, potentially enhancing model performance.</w:t>
      </w:r>
    </w:p>
    <w:p w14:paraId="7619357D" w14:textId="77777777" w:rsidR="00543FBE" w:rsidRPr="00543FBE" w:rsidRDefault="00543FBE" w:rsidP="00543FBE">
      <w:pPr>
        <w:jc w:val="both"/>
        <w:rPr>
          <w:rFonts w:ascii="Times New Roman" w:hAnsi="Times New Roman" w:cs="Times New Roman"/>
          <w:b/>
          <w:bCs/>
        </w:rPr>
      </w:pPr>
      <w:r w:rsidRPr="00543FBE">
        <w:rPr>
          <w:rFonts w:ascii="Times New Roman" w:hAnsi="Times New Roman" w:cs="Times New Roman"/>
          <w:b/>
          <w:bCs/>
        </w:rPr>
        <w:t>Limitations and Challenges Encountered</w:t>
      </w:r>
    </w:p>
    <w:p w14:paraId="4025E742"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Cs/>
        </w:rPr>
        <w:t xml:space="preserve">Despite its promising features, several significant challenges emerged during the implementation of </w:t>
      </w:r>
      <w:proofErr w:type="spellStart"/>
      <w:r w:rsidRPr="00543FBE">
        <w:rPr>
          <w:rFonts w:ascii="Times New Roman" w:hAnsi="Times New Roman" w:cs="Times New Roman"/>
          <w:bCs/>
        </w:rPr>
        <w:t>FinRL</w:t>
      </w:r>
      <w:proofErr w:type="spellEnd"/>
      <w:r w:rsidRPr="00543FBE">
        <w:rPr>
          <w:rFonts w:ascii="Times New Roman" w:hAnsi="Times New Roman" w:cs="Times New Roman"/>
          <w:bCs/>
        </w:rPr>
        <w:t xml:space="preserve"> that ultimately led to its rejection as the primary framework:</w:t>
      </w:r>
    </w:p>
    <w:p w14:paraId="0925A9B8"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
          <w:bCs/>
        </w:rPr>
        <w:t>Outdated Dependencies and Limited Maintenance</w:t>
      </w:r>
      <w:r w:rsidRPr="00543FBE">
        <w:rPr>
          <w:rFonts w:ascii="Times New Roman" w:hAnsi="Times New Roman" w:cs="Times New Roman"/>
          <w:bCs/>
        </w:rPr>
        <w:t>: The framework relied on outdated libraries and lacked regular maintenance updates. This created compatibility issues with current Python environments and other required packages, resulting in frequent runtime errors and implementation difficulties.</w:t>
      </w:r>
    </w:p>
    <w:p w14:paraId="04ECAA0D" w14:textId="77777777" w:rsidR="00543FBE" w:rsidRPr="00543FBE" w:rsidRDefault="00543FBE" w:rsidP="00543FBE">
      <w:pPr>
        <w:jc w:val="both"/>
        <w:rPr>
          <w:rFonts w:ascii="Times New Roman" w:hAnsi="Times New Roman" w:cs="Times New Roman"/>
          <w:bCs/>
        </w:rPr>
      </w:pPr>
      <w:r w:rsidRPr="00543FBE">
        <w:rPr>
          <w:rFonts w:ascii="Times New Roman" w:hAnsi="Times New Roman" w:cs="Times New Roman"/>
          <w:b/>
          <w:bCs/>
        </w:rPr>
        <w:t>Data Processing Limitations</w:t>
      </w:r>
      <w:r w:rsidRPr="00543FBE">
        <w:rPr>
          <w:rFonts w:ascii="Times New Roman" w:hAnsi="Times New Roman" w:cs="Times New Roman"/>
          <w:bCs/>
        </w:rPr>
        <w:t xml:space="preserve">: When attempting to use </w:t>
      </w:r>
      <w:proofErr w:type="spellStart"/>
      <w:r w:rsidRPr="00543FBE">
        <w:rPr>
          <w:rFonts w:ascii="Times New Roman" w:hAnsi="Times New Roman" w:cs="Times New Roman"/>
          <w:bCs/>
        </w:rPr>
        <w:t>FinRL's</w:t>
      </w:r>
      <w:proofErr w:type="spellEnd"/>
      <w:r w:rsidRPr="00543FBE">
        <w:rPr>
          <w:rFonts w:ascii="Times New Roman" w:hAnsi="Times New Roman" w:cs="Times New Roman"/>
          <w:bCs/>
        </w:rPr>
        <w:t xml:space="preserve"> feature engineering capabilities, we encountered critical issues where the framework would eliminate </w:t>
      </w:r>
      <w:proofErr w:type="gramStart"/>
      <w:r w:rsidRPr="00543FBE">
        <w:rPr>
          <w:rFonts w:ascii="Times New Roman" w:hAnsi="Times New Roman" w:cs="Times New Roman"/>
          <w:bCs/>
        </w:rPr>
        <w:t>the majority of</w:t>
      </w:r>
      <w:proofErr w:type="gramEnd"/>
      <w:r w:rsidRPr="00543FBE">
        <w:rPr>
          <w:rFonts w:ascii="Times New Roman" w:hAnsi="Times New Roman" w:cs="Times New Roman"/>
          <w:bCs/>
        </w:rPr>
        <w:t xml:space="preserve"> tickers from our dataset during the technical indicator calculation process. This substantial data loss significantly compromised our ability to </w:t>
      </w:r>
      <w:proofErr w:type="spellStart"/>
      <w:r w:rsidRPr="00543FBE">
        <w:rPr>
          <w:rFonts w:ascii="Times New Roman" w:hAnsi="Times New Roman" w:cs="Times New Roman"/>
          <w:bCs/>
        </w:rPr>
        <w:t>analyze</w:t>
      </w:r>
      <w:proofErr w:type="spellEnd"/>
      <w:r w:rsidRPr="00543FBE">
        <w:rPr>
          <w:rFonts w:ascii="Times New Roman" w:hAnsi="Times New Roman" w:cs="Times New Roman"/>
          <w:bCs/>
        </w:rPr>
        <w:t xml:space="preserve"> a diverse set of stocks, which was essential for effective portfolio construction.</w:t>
      </w:r>
    </w:p>
    <w:p w14:paraId="06445CAA" w14:textId="77777777" w:rsidR="00543FBE" w:rsidRDefault="00543FBE" w:rsidP="00543FBE">
      <w:pPr>
        <w:jc w:val="both"/>
        <w:rPr>
          <w:rFonts w:ascii="Times New Roman" w:hAnsi="Times New Roman" w:cs="Times New Roman"/>
          <w:bCs/>
        </w:rPr>
      </w:pPr>
      <w:r w:rsidRPr="00543FBE">
        <w:rPr>
          <w:rFonts w:ascii="Times New Roman" w:hAnsi="Times New Roman" w:cs="Times New Roman"/>
          <w:b/>
          <w:bCs/>
        </w:rPr>
        <w:t>Insufficient Documentation and Community Support</w:t>
      </w:r>
      <w:r w:rsidRPr="00543FBE">
        <w:rPr>
          <w:rFonts w:ascii="Times New Roman" w:hAnsi="Times New Roman" w:cs="Times New Roman"/>
          <w:bCs/>
        </w:rPr>
        <w:t xml:space="preserve">: As a relatively new and specialized framework, </w:t>
      </w:r>
      <w:proofErr w:type="spellStart"/>
      <w:r w:rsidRPr="00543FBE">
        <w:rPr>
          <w:rFonts w:ascii="Times New Roman" w:hAnsi="Times New Roman" w:cs="Times New Roman"/>
          <w:bCs/>
        </w:rPr>
        <w:t>FinRL</w:t>
      </w:r>
      <w:proofErr w:type="spellEnd"/>
      <w:r w:rsidRPr="00543FBE">
        <w:rPr>
          <w:rFonts w:ascii="Times New Roman" w:hAnsi="Times New Roman" w:cs="Times New Roman"/>
          <w:bCs/>
        </w:rPr>
        <w:t xml:space="preserve"> lacked comprehensive documentation and an active support community. This absence became particularly problematic when troubleshooting implementation issues, as solutions and workarounds were not readily available online. The limited resources for bug resolution and optimization made development progress increasingly difficult.</w:t>
      </w:r>
    </w:p>
    <w:p w14:paraId="5FE91B5F" w14:textId="62F6E76F" w:rsidR="005B3F9B" w:rsidRDefault="005B3F9B" w:rsidP="0060351E">
      <w:pPr>
        <w:jc w:val="both"/>
        <w:rPr>
          <w:rFonts w:ascii="Times New Roman" w:hAnsi="Times New Roman" w:cs="Times New Roman"/>
          <w:b/>
          <w:bCs/>
        </w:rPr>
      </w:pPr>
    </w:p>
    <w:p w14:paraId="3D4F7B42" w14:textId="77777777" w:rsidR="00C36BAB" w:rsidRDefault="00C36BAB" w:rsidP="00C36BAB">
      <w:pPr>
        <w:pStyle w:val="whitespace-pre-wrap"/>
      </w:pPr>
      <w:r>
        <w:rPr>
          <w:rStyle w:val="Strong"/>
          <w:rFonts w:eastAsiaTheme="majorEastAsia"/>
        </w:rPr>
        <w:t xml:space="preserve">Approaches, Tools, and Techniques Approved </w:t>
      </w:r>
    </w:p>
    <w:p w14:paraId="2D386579" w14:textId="1A61EAE1" w:rsidR="00C36BAB" w:rsidRPr="00756CE2" w:rsidRDefault="00C36BAB" w:rsidP="00C36BAB">
      <w:pPr>
        <w:pStyle w:val="whitespace-pre-wrap"/>
      </w:pPr>
      <w:r w:rsidRPr="00756CE2">
        <w:t xml:space="preserve">After the rejection of </w:t>
      </w:r>
      <w:proofErr w:type="spellStart"/>
      <w:r w:rsidRPr="00756CE2">
        <w:t>FinRL</w:t>
      </w:r>
      <w:proofErr w:type="spellEnd"/>
      <w:r w:rsidRPr="00756CE2">
        <w:t xml:space="preserve"> as a comprehensive framework, the team approved an alternative approach for extracting Toronto Stock Exchange data while developing custom reinforcement learning models for portfolio management. This selective approach was chosen for several compelling reasons:</w:t>
      </w:r>
    </w:p>
    <w:p w14:paraId="0656EFD1" w14:textId="77777777" w:rsidR="00C36BAB" w:rsidRDefault="00C36BAB" w:rsidP="001E2BB2">
      <w:pPr>
        <w:pStyle w:val="whitespace-pre-wrap"/>
      </w:pPr>
      <w:r w:rsidRPr="00756CE2">
        <w:rPr>
          <w:rStyle w:val="Strong"/>
          <w:rFonts w:eastAsiaTheme="majorEastAsia"/>
        </w:rPr>
        <w:lastRenderedPageBreak/>
        <w:t>Custom Implementation of RL Algorithms</w:t>
      </w:r>
      <w:r w:rsidRPr="00756CE2">
        <w:t xml:space="preserve">: </w:t>
      </w:r>
    </w:p>
    <w:p w14:paraId="503ACA2A" w14:textId="77777777" w:rsidR="00C36BAB" w:rsidRDefault="00C36BAB" w:rsidP="001E2BB2">
      <w:pPr>
        <w:pStyle w:val="whitespace-pre-wrap"/>
      </w:pPr>
      <w:r w:rsidRPr="00756CE2">
        <w:t xml:space="preserve">The team shortlisted three reinforcement learning algorithms for custom implementation: Proximal Policy Optimization (PPO), Advantage Actor-Critic (A2C), and Soft Actor-Critic (SAC). By building these algorithms independently of the </w:t>
      </w:r>
      <w:proofErr w:type="spellStart"/>
      <w:r w:rsidRPr="00756CE2">
        <w:t>FinRL</w:t>
      </w:r>
      <w:proofErr w:type="spellEnd"/>
      <w:r w:rsidRPr="00756CE2">
        <w:t xml:space="preserve"> framework, the team gained complete control over their architecture, hyperparameters, and optimization procedures, enabling fine-tuning specifically for financial applications.</w:t>
      </w:r>
    </w:p>
    <w:p w14:paraId="7A6A91A9" w14:textId="2371FE5B" w:rsidR="00C36BAB" w:rsidRDefault="00C36BAB" w:rsidP="00C36BAB">
      <w:pPr>
        <w:pStyle w:val="whitespace-pre-wrap"/>
      </w:pPr>
      <w:r>
        <w:t>The team conducted a comprehensive evaluation of four reinforcement learning algorithms: Deep Deterministic Policy Gradient (DDPG), Proximal Policy Optimization (PPO), Soft Actor-Critic (SAC), and Advantage Actor-Critic (A2C). After rigorous testing</w:t>
      </w:r>
      <w:r w:rsidR="00813C14">
        <w:t xml:space="preserve">, DDPG3 was </w:t>
      </w:r>
      <w:proofErr w:type="spellStart"/>
      <w:r w:rsidR="00813C14">
        <w:t>choosed</w:t>
      </w:r>
      <w:proofErr w:type="spellEnd"/>
      <w:r w:rsidR="00813C14">
        <w:t xml:space="preserve"> for the portfolio allocation and risk management.</w:t>
      </w:r>
      <w:r>
        <w:t xml:space="preserve"> </w:t>
      </w:r>
    </w:p>
    <w:p w14:paraId="6562E984" w14:textId="77777777" w:rsidR="00C36BAB" w:rsidRPr="00C36BAB" w:rsidRDefault="00C36BAB" w:rsidP="00C36BAB">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C36BAB">
        <w:rPr>
          <w:rFonts w:ascii="Times New Roman" w:eastAsia="Times New Roman" w:hAnsi="Times New Roman" w:cs="Times New Roman"/>
          <w:b/>
          <w:bCs/>
          <w:kern w:val="0"/>
          <w:szCs w:val="36"/>
          <w:lang w:eastAsia="en-IN"/>
          <w14:ligatures w14:val="none"/>
        </w:rPr>
        <w:t>PPO Implementation for Portfolio Allocation</w:t>
      </w:r>
    </w:p>
    <w:p w14:paraId="46B84D96" w14:textId="2785581F" w:rsidR="00471375" w:rsidRDefault="00471375" w:rsidP="00C36BAB">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71375">
        <w:rPr>
          <w:rFonts w:ascii="Times New Roman" w:eastAsia="Times New Roman" w:hAnsi="Times New Roman" w:cs="Times New Roman"/>
          <w:kern w:val="0"/>
          <w:lang w:eastAsia="en-IN"/>
          <w14:ligatures w14:val="none"/>
        </w:rPr>
        <w:t xml:space="preserve">The Proximal Policy Optimization algorithm was implemented through a custom Gymnasium environment </w:t>
      </w:r>
      <w:proofErr w:type="spellStart"/>
      <w:r w:rsidRPr="00471375">
        <w:rPr>
          <w:rFonts w:ascii="Times New Roman" w:eastAsia="Times New Roman" w:hAnsi="Times New Roman" w:cs="Times New Roman"/>
          <w:kern w:val="0"/>
          <w:lang w:eastAsia="en-IN"/>
          <w14:ligatures w14:val="none"/>
        </w:rPr>
        <w:t>modeling</w:t>
      </w:r>
      <w:proofErr w:type="spellEnd"/>
      <w:r w:rsidRPr="00471375">
        <w:rPr>
          <w:rFonts w:ascii="Times New Roman" w:eastAsia="Times New Roman" w:hAnsi="Times New Roman" w:cs="Times New Roman"/>
          <w:kern w:val="0"/>
          <w:lang w:eastAsia="en-IN"/>
          <w14:ligatures w14:val="none"/>
        </w:rPr>
        <w:t xml:space="preserve"> the investment setting. The state space incorporated 30-day historical lookback windows of key technical indicators, including Moving Averages (Volume and Price), Relative Strength Index (RSI), Moving Average Convergence Divergence (MACD), Bollinger Bands, Momentum, Volatility, and Returns. The continuous action space enabled allocation weights across stocks, with these technical indicators providing a comprehensive view of market dynamics. The reward function was based on log returns or portfolio-level returns depending on configuration. The team developed an actor-critic network with configurable architecture and implemented it using Stable-Baselines3 for compatibility and robustness. This implementation enabled the system to effectively learn asset selection and dynamic allocation based on market trends, momentum, and historical patterns, leveraging the rich feature space created by the carefully selected technical indicators.</w:t>
      </w:r>
    </w:p>
    <w:p w14:paraId="4A73738D" w14:textId="0AF0FC6A" w:rsidR="00C36BAB" w:rsidRPr="00C36BAB" w:rsidRDefault="00C36BAB" w:rsidP="00C36BAB">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C36BAB">
        <w:rPr>
          <w:rFonts w:ascii="Times New Roman" w:eastAsia="Times New Roman" w:hAnsi="Times New Roman" w:cs="Times New Roman"/>
          <w:b/>
          <w:bCs/>
          <w:kern w:val="0"/>
          <w:szCs w:val="36"/>
          <w:lang w:eastAsia="en-IN"/>
          <w14:ligatures w14:val="none"/>
        </w:rPr>
        <w:t>A2C Implementation for Risk Management</w:t>
      </w:r>
    </w:p>
    <w:p w14:paraId="4A24B207" w14:textId="77777777" w:rsidR="00C36BAB" w:rsidRDefault="00C36BAB" w:rsidP="00C36BAB">
      <w:pPr>
        <w:spacing w:before="100" w:beforeAutospacing="1" w:after="100" w:afterAutospacing="1" w:line="240" w:lineRule="auto"/>
        <w:rPr>
          <w:rFonts w:ascii="Times New Roman" w:eastAsia="Times New Roman" w:hAnsi="Times New Roman" w:cs="Times New Roman"/>
          <w:kern w:val="0"/>
          <w:lang w:eastAsia="en-IN"/>
          <w14:ligatures w14:val="none"/>
        </w:rPr>
      </w:pPr>
      <w:r w:rsidRPr="00C36BAB">
        <w:rPr>
          <w:rFonts w:ascii="Times New Roman" w:eastAsia="Times New Roman" w:hAnsi="Times New Roman" w:cs="Times New Roman"/>
          <w:kern w:val="0"/>
          <w:lang w:eastAsia="en-IN"/>
          <w14:ligatures w14:val="none"/>
        </w:rPr>
        <w:t>The Advantage Actor-Critic algorithm was implemented using a custom Gymnasium environment (</w:t>
      </w:r>
      <w:proofErr w:type="spellStart"/>
      <w:r w:rsidRPr="00C36BAB">
        <w:rPr>
          <w:rFonts w:ascii="Times New Roman" w:eastAsia="Times New Roman" w:hAnsi="Times New Roman" w:cs="Times New Roman"/>
          <w:kern w:val="0"/>
          <w:lang w:eastAsia="en-IN"/>
          <w14:ligatures w14:val="none"/>
        </w:rPr>
        <w:t>PortfolioRiskEnv</w:t>
      </w:r>
      <w:proofErr w:type="spellEnd"/>
      <w:r w:rsidRPr="00C36BAB">
        <w:rPr>
          <w:rFonts w:ascii="Times New Roman" w:eastAsia="Times New Roman" w:hAnsi="Times New Roman" w:cs="Times New Roman"/>
          <w:kern w:val="0"/>
          <w:lang w:eastAsia="en-IN"/>
          <w14:ligatures w14:val="none"/>
        </w:rPr>
        <w:t>) for portfolio risk simulation. The state space included stock features, risk metrics, and portfolio status, while the action space enabled continuous control of position sizing and risk budget allocation. A multifaceted reward function balanced returns against volatility, drawdown, and risk efficiency. The team developed an optimized neural network architecture with 128-unit layers and implemented N-step returns for improved temporal credit assignment. This approach allowed the system to manage risk dynamically and adapt to changing market conditions.</w:t>
      </w:r>
    </w:p>
    <w:p w14:paraId="5CA7F7FD" w14:textId="08F6BC06" w:rsidR="00813C14" w:rsidRDefault="00813C14" w:rsidP="00C36BAB">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SAC Implementation for Risk Management</w:t>
      </w:r>
      <w:r w:rsidR="000574B7">
        <w:rPr>
          <w:rFonts w:ascii="Times New Roman" w:eastAsia="Times New Roman" w:hAnsi="Times New Roman" w:cs="Times New Roman"/>
          <w:b/>
          <w:bCs/>
          <w:kern w:val="0"/>
          <w:lang w:eastAsia="en-IN"/>
          <w14:ligatures w14:val="none"/>
        </w:rPr>
        <w:t xml:space="preserve"> </w:t>
      </w:r>
    </w:p>
    <w:p w14:paraId="44E8F850" w14:textId="6F7B3038" w:rsidR="0053574F" w:rsidRDefault="00813C14" w:rsidP="0053574F">
      <w:pPr>
        <w:pStyle w:val="whitespace-pre-wrap"/>
        <w:spacing w:before="0" w:beforeAutospacing="0" w:after="0" w:afterAutospacing="0"/>
      </w:pPr>
      <w:r w:rsidRPr="00813C14">
        <w:t>The Soft Actor-Critic (SAC) algorithm was implemented through Gymnasium environment (</w:t>
      </w:r>
      <w:proofErr w:type="spellStart"/>
      <w:r w:rsidRPr="00813C14">
        <w:t>PortfolioRiskEnv</w:t>
      </w:r>
      <w:proofErr w:type="spellEnd"/>
      <w:r w:rsidRPr="00813C14">
        <w:t>) designed to simulate comprehensive portfolio risk management.</w:t>
      </w:r>
      <w:r>
        <w:t xml:space="preserve"> </w:t>
      </w:r>
      <w:r w:rsidR="0053574F">
        <w:t xml:space="preserve">It also used the StableBaseline3 for the model building. </w:t>
      </w:r>
      <w:r w:rsidR="00471375" w:rsidRPr="00471375">
        <w:t>The model integrates key technical indicators including Relative Strength Index (RSI), Moving Average Convergence Divergence (MACD), Bollinger Bands, and trend strength metrics to capture multidimensional market dynamics, enabling adaptive risk assessment and intelligent investment decision-making.</w:t>
      </w:r>
      <w:r w:rsidR="00471375">
        <w:t xml:space="preserve"> T</w:t>
      </w:r>
      <w:r w:rsidR="00471375" w:rsidRPr="00471375">
        <w:t xml:space="preserve">he SAC algorithm </w:t>
      </w:r>
      <w:r w:rsidR="00471375">
        <w:t xml:space="preserve">tries </w:t>
      </w:r>
      <w:r w:rsidR="00471375" w:rsidRPr="00471375">
        <w:t xml:space="preserve">balances exploration and exploitation, creating a robust framework for managing portfolio risk that can dynamically respond to changing market conditions. The technical indicators provide a comprehensive feature space </w:t>
      </w:r>
      <w:r w:rsidR="00471375" w:rsidRPr="00471375">
        <w:lastRenderedPageBreak/>
        <w:t>encompassing momentum, volatility, and trend characteristics, transforming raw financial data into actionable insights that support nuanced risk-return trade-offs and sophisticated portfolio allocation strategies.</w:t>
      </w:r>
    </w:p>
    <w:p w14:paraId="2A8AE53C" w14:textId="77777777" w:rsidR="000574B7" w:rsidRDefault="000574B7" w:rsidP="0053574F">
      <w:pPr>
        <w:pStyle w:val="whitespace-pre-wrap"/>
        <w:spacing w:before="0" w:beforeAutospacing="0" w:after="0" w:afterAutospacing="0"/>
      </w:pPr>
    </w:p>
    <w:p w14:paraId="17D4A866" w14:textId="77777777" w:rsidR="000574B7" w:rsidRDefault="000574B7" w:rsidP="000574B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DDPG3 Implementation for Portfolio Allocation and Risk Management</w:t>
      </w:r>
    </w:p>
    <w:p w14:paraId="7B9ED815" w14:textId="7D373234" w:rsidR="000574B7" w:rsidRDefault="001E2BB2" w:rsidP="0053574F">
      <w:pPr>
        <w:pStyle w:val="whitespace-pre-wrap"/>
        <w:spacing w:before="0" w:beforeAutospacing="0" w:after="0" w:afterAutospacing="0"/>
      </w:pPr>
      <w:r w:rsidRPr="001E2BB2">
        <w:t xml:space="preserve">The Deep Deterministic Policy Gradient (DDPG3) algorithm was implemented through a sophisticated custom Gymnasium environment designed to comprehensively model portfolio investment dynamics. The state space integrated a carefully curated set of technical indicators, including Returns, Volume Moving Average, Price Moving Average, Relative Strength Index (RSI), Moving Average Convergence Divergence (MACD), Volatility, and Momentum. These indicators provided a multidimensional view of market </w:t>
      </w:r>
      <w:proofErr w:type="spellStart"/>
      <w:r w:rsidRPr="001E2BB2">
        <w:t>behavior</w:t>
      </w:r>
      <w:proofErr w:type="spellEnd"/>
      <w:r w:rsidRPr="001E2BB2">
        <w:t>, enabling the algorithm to capture complex market dynamics and make intelligent investment decisions.</w:t>
      </w:r>
      <w:r>
        <w:t xml:space="preserve"> </w:t>
      </w:r>
      <w:r w:rsidRPr="001E2BB2">
        <w:t>The continuous action space allowed for precise allocation weights and risk management parameters, while the actor-critic network architecture learned intricate relationships between market indicators and optimal investment strategies. By balancing portfolio returns against comprehensive risk metrics, the DDPG3 implementation could develop adaptive strategies for asset selection, dynamically allocate resources, and manage risk exposure across varying market conditions, effectively transforming raw financial data into sophisticated portfolio management decisions.</w:t>
      </w:r>
    </w:p>
    <w:p w14:paraId="46D63040" w14:textId="77777777" w:rsidR="0053574F" w:rsidRDefault="0053574F" w:rsidP="0053574F">
      <w:pPr>
        <w:pStyle w:val="whitespace-pre-wrap"/>
        <w:spacing w:before="0" w:beforeAutospacing="0" w:after="0" w:afterAutospacing="0"/>
      </w:pPr>
    </w:p>
    <w:p w14:paraId="2C077761" w14:textId="77777777" w:rsidR="00756CE2" w:rsidRPr="00756CE2" w:rsidRDefault="00756CE2" w:rsidP="0060351E">
      <w:pPr>
        <w:jc w:val="both"/>
        <w:rPr>
          <w:rFonts w:ascii="Times New Roman" w:hAnsi="Times New Roman" w:cs="Times New Roman"/>
          <w:b/>
          <w:bCs/>
        </w:rPr>
      </w:pPr>
    </w:p>
    <w:sectPr w:rsidR="00756CE2" w:rsidRPr="00756CE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D2422"/>
    <w:multiLevelType w:val="hybridMultilevel"/>
    <w:tmpl w:val="52C6F6B2"/>
    <w:lvl w:ilvl="0" w:tplc="8CD2E8B0">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BCC6F69"/>
    <w:multiLevelType w:val="multilevel"/>
    <w:tmpl w:val="C56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73EDF"/>
    <w:multiLevelType w:val="hybridMultilevel"/>
    <w:tmpl w:val="8D6E2254"/>
    <w:lvl w:ilvl="0" w:tplc="F520678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3124237">
    <w:abstractNumId w:val="0"/>
  </w:num>
  <w:num w:numId="2" w16cid:durableId="434791331">
    <w:abstractNumId w:val="1"/>
  </w:num>
  <w:num w:numId="3" w16cid:durableId="1471359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56"/>
    <w:rsid w:val="00032550"/>
    <w:rsid w:val="000574B7"/>
    <w:rsid w:val="000575AA"/>
    <w:rsid w:val="00076736"/>
    <w:rsid w:val="00097691"/>
    <w:rsid w:val="000A5833"/>
    <w:rsid w:val="00114739"/>
    <w:rsid w:val="001A411E"/>
    <w:rsid w:val="001C4075"/>
    <w:rsid w:val="001E2BB2"/>
    <w:rsid w:val="002C7CEA"/>
    <w:rsid w:val="00363382"/>
    <w:rsid w:val="00414A11"/>
    <w:rsid w:val="00471375"/>
    <w:rsid w:val="0053574F"/>
    <w:rsid w:val="00543FBE"/>
    <w:rsid w:val="00580D50"/>
    <w:rsid w:val="005A0F56"/>
    <w:rsid w:val="005B3F9B"/>
    <w:rsid w:val="005D5D36"/>
    <w:rsid w:val="0060351E"/>
    <w:rsid w:val="006069E4"/>
    <w:rsid w:val="006412E4"/>
    <w:rsid w:val="00756CE2"/>
    <w:rsid w:val="007E17DC"/>
    <w:rsid w:val="00813C14"/>
    <w:rsid w:val="008C4A3D"/>
    <w:rsid w:val="009135AB"/>
    <w:rsid w:val="0099341B"/>
    <w:rsid w:val="00A653D0"/>
    <w:rsid w:val="00B0020B"/>
    <w:rsid w:val="00B0640B"/>
    <w:rsid w:val="00BC4F4F"/>
    <w:rsid w:val="00BF3D74"/>
    <w:rsid w:val="00BF3EE7"/>
    <w:rsid w:val="00BF5046"/>
    <w:rsid w:val="00C36BAB"/>
    <w:rsid w:val="00CF640F"/>
    <w:rsid w:val="00DA5FFC"/>
    <w:rsid w:val="00E509D3"/>
    <w:rsid w:val="00E62B1A"/>
    <w:rsid w:val="00FA01B5"/>
    <w:rsid w:val="00FE4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49B7"/>
  <w15:chartTrackingRefBased/>
  <w15:docId w15:val="{3BD9D7C8-62C6-44E6-8691-589B0EE77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BE"/>
  </w:style>
  <w:style w:type="paragraph" w:styleId="Heading1">
    <w:name w:val="heading 1"/>
    <w:basedOn w:val="Normal"/>
    <w:next w:val="Normal"/>
    <w:link w:val="Heading1Char"/>
    <w:uiPriority w:val="9"/>
    <w:qFormat/>
    <w:rsid w:val="005A0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0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0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0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0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F56"/>
    <w:rPr>
      <w:rFonts w:eastAsiaTheme="majorEastAsia" w:cstheme="majorBidi"/>
      <w:color w:val="272727" w:themeColor="text1" w:themeTint="D8"/>
    </w:rPr>
  </w:style>
  <w:style w:type="paragraph" w:styleId="Title">
    <w:name w:val="Title"/>
    <w:basedOn w:val="Normal"/>
    <w:next w:val="Normal"/>
    <w:link w:val="TitleChar"/>
    <w:uiPriority w:val="10"/>
    <w:qFormat/>
    <w:rsid w:val="005A0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F56"/>
    <w:pPr>
      <w:spacing w:before="160"/>
      <w:jc w:val="center"/>
    </w:pPr>
    <w:rPr>
      <w:i/>
      <w:iCs/>
      <w:color w:val="404040" w:themeColor="text1" w:themeTint="BF"/>
    </w:rPr>
  </w:style>
  <w:style w:type="character" w:customStyle="1" w:styleId="QuoteChar">
    <w:name w:val="Quote Char"/>
    <w:basedOn w:val="DefaultParagraphFont"/>
    <w:link w:val="Quote"/>
    <w:uiPriority w:val="29"/>
    <w:rsid w:val="005A0F56"/>
    <w:rPr>
      <w:i/>
      <w:iCs/>
      <w:color w:val="404040" w:themeColor="text1" w:themeTint="BF"/>
    </w:rPr>
  </w:style>
  <w:style w:type="paragraph" w:styleId="ListParagraph">
    <w:name w:val="List Paragraph"/>
    <w:basedOn w:val="Normal"/>
    <w:uiPriority w:val="34"/>
    <w:qFormat/>
    <w:rsid w:val="005A0F56"/>
    <w:pPr>
      <w:ind w:left="720"/>
      <w:contextualSpacing/>
    </w:pPr>
  </w:style>
  <w:style w:type="character" w:styleId="IntenseEmphasis">
    <w:name w:val="Intense Emphasis"/>
    <w:basedOn w:val="DefaultParagraphFont"/>
    <w:uiPriority w:val="21"/>
    <w:qFormat/>
    <w:rsid w:val="005A0F56"/>
    <w:rPr>
      <w:i/>
      <w:iCs/>
      <w:color w:val="0F4761" w:themeColor="accent1" w:themeShade="BF"/>
    </w:rPr>
  </w:style>
  <w:style w:type="paragraph" w:styleId="IntenseQuote">
    <w:name w:val="Intense Quote"/>
    <w:basedOn w:val="Normal"/>
    <w:next w:val="Normal"/>
    <w:link w:val="IntenseQuoteChar"/>
    <w:uiPriority w:val="30"/>
    <w:qFormat/>
    <w:rsid w:val="005A0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F56"/>
    <w:rPr>
      <w:i/>
      <w:iCs/>
      <w:color w:val="0F4761" w:themeColor="accent1" w:themeShade="BF"/>
    </w:rPr>
  </w:style>
  <w:style w:type="character" w:styleId="IntenseReference">
    <w:name w:val="Intense Reference"/>
    <w:basedOn w:val="DefaultParagraphFont"/>
    <w:uiPriority w:val="32"/>
    <w:qFormat/>
    <w:rsid w:val="005A0F56"/>
    <w:rPr>
      <w:b/>
      <w:bCs/>
      <w:smallCaps/>
      <w:color w:val="0F4761" w:themeColor="accent1" w:themeShade="BF"/>
      <w:spacing w:val="5"/>
    </w:rPr>
  </w:style>
  <w:style w:type="character" w:styleId="Hyperlink">
    <w:name w:val="Hyperlink"/>
    <w:basedOn w:val="DefaultParagraphFont"/>
    <w:uiPriority w:val="99"/>
    <w:unhideWhenUsed/>
    <w:rsid w:val="000575AA"/>
    <w:rPr>
      <w:color w:val="467886" w:themeColor="hyperlink"/>
      <w:u w:val="single"/>
    </w:rPr>
  </w:style>
  <w:style w:type="character" w:styleId="UnresolvedMention">
    <w:name w:val="Unresolved Mention"/>
    <w:basedOn w:val="DefaultParagraphFont"/>
    <w:uiPriority w:val="99"/>
    <w:semiHidden/>
    <w:unhideWhenUsed/>
    <w:rsid w:val="000575AA"/>
    <w:rPr>
      <w:color w:val="605E5C"/>
      <w:shd w:val="clear" w:color="auto" w:fill="E1DFDD"/>
    </w:rPr>
  </w:style>
  <w:style w:type="table" w:styleId="TableGrid">
    <w:name w:val="Table Grid"/>
    <w:basedOn w:val="TableNormal"/>
    <w:uiPriority w:val="39"/>
    <w:rsid w:val="008C4A3D"/>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Normal"/>
    <w:rsid w:val="00756C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56C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0">
      <w:bodyDiv w:val="1"/>
      <w:marLeft w:val="0"/>
      <w:marRight w:val="0"/>
      <w:marTop w:val="0"/>
      <w:marBottom w:val="0"/>
      <w:divBdr>
        <w:top w:val="none" w:sz="0" w:space="0" w:color="auto"/>
        <w:left w:val="none" w:sz="0" w:space="0" w:color="auto"/>
        <w:bottom w:val="none" w:sz="0" w:space="0" w:color="auto"/>
        <w:right w:val="none" w:sz="0" w:space="0" w:color="auto"/>
      </w:divBdr>
    </w:div>
    <w:div w:id="76905773">
      <w:bodyDiv w:val="1"/>
      <w:marLeft w:val="0"/>
      <w:marRight w:val="0"/>
      <w:marTop w:val="0"/>
      <w:marBottom w:val="0"/>
      <w:divBdr>
        <w:top w:val="none" w:sz="0" w:space="0" w:color="auto"/>
        <w:left w:val="none" w:sz="0" w:space="0" w:color="auto"/>
        <w:bottom w:val="none" w:sz="0" w:space="0" w:color="auto"/>
        <w:right w:val="none" w:sz="0" w:space="0" w:color="auto"/>
      </w:divBdr>
    </w:div>
    <w:div w:id="80299265">
      <w:bodyDiv w:val="1"/>
      <w:marLeft w:val="0"/>
      <w:marRight w:val="0"/>
      <w:marTop w:val="0"/>
      <w:marBottom w:val="0"/>
      <w:divBdr>
        <w:top w:val="none" w:sz="0" w:space="0" w:color="auto"/>
        <w:left w:val="none" w:sz="0" w:space="0" w:color="auto"/>
        <w:bottom w:val="none" w:sz="0" w:space="0" w:color="auto"/>
        <w:right w:val="none" w:sz="0" w:space="0" w:color="auto"/>
      </w:divBdr>
    </w:div>
    <w:div w:id="88938867">
      <w:bodyDiv w:val="1"/>
      <w:marLeft w:val="0"/>
      <w:marRight w:val="0"/>
      <w:marTop w:val="0"/>
      <w:marBottom w:val="0"/>
      <w:divBdr>
        <w:top w:val="none" w:sz="0" w:space="0" w:color="auto"/>
        <w:left w:val="none" w:sz="0" w:space="0" w:color="auto"/>
        <w:bottom w:val="none" w:sz="0" w:space="0" w:color="auto"/>
        <w:right w:val="none" w:sz="0" w:space="0" w:color="auto"/>
      </w:divBdr>
    </w:div>
    <w:div w:id="133571330">
      <w:bodyDiv w:val="1"/>
      <w:marLeft w:val="0"/>
      <w:marRight w:val="0"/>
      <w:marTop w:val="0"/>
      <w:marBottom w:val="0"/>
      <w:divBdr>
        <w:top w:val="none" w:sz="0" w:space="0" w:color="auto"/>
        <w:left w:val="none" w:sz="0" w:space="0" w:color="auto"/>
        <w:bottom w:val="none" w:sz="0" w:space="0" w:color="auto"/>
        <w:right w:val="none" w:sz="0" w:space="0" w:color="auto"/>
      </w:divBdr>
    </w:div>
    <w:div w:id="166794880">
      <w:bodyDiv w:val="1"/>
      <w:marLeft w:val="0"/>
      <w:marRight w:val="0"/>
      <w:marTop w:val="0"/>
      <w:marBottom w:val="0"/>
      <w:divBdr>
        <w:top w:val="none" w:sz="0" w:space="0" w:color="auto"/>
        <w:left w:val="none" w:sz="0" w:space="0" w:color="auto"/>
        <w:bottom w:val="none" w:sz="0" w:space="0" w:color="auto"/>
        <w:right w:val="none" w:sz="0" w:space="0" w:color="auto"/>
      </w:divBdr>
    </w:div>
    <w:div w:id="191921786">
      <w:bodyDiv w:val="1"/>
      <w:marLeft w:val="0"/>
      <w:marRight w:val="0"/>
      <w:marTop w:val="0"/>
      <w:marBottom w:val="0"/>
      <w:divBdr>
        <w:top w:val="none" w:sz="0" w:space="0" w:color="auto"/>
        <w:left w:val="none" w:sz="0" w:space="0" w:color="auto"/>
        <w:bottom w:val="none" w:sz="0" w:space="0" w:color="auto"/>
        <w:right w:val="none" w:sz="0" w:space="0" w:color="auto"/>
      </w:divBdr>
    </w:div>
    <w:div w:id="235554523">
      <w:bodyDiv w:val="1"/>
      <w:marLeft w:val="0"/>
      <w:marRight w:val="0"/>
      <w:marTop w:val="0"/>
      <w:marBottom w:val="0"/>
      <w:divBdr>
        <w:top w:val="none" w:sz="0" w:space="0" w:color="auto"/>
        <w:left w:val="none" w:sz="0" w:space="0" w:color="auto"/>
        <w:bottom w:val="none" w:sz="0" w:space="0" w:color="auto"/>
        <w:right w:val="none" w:sz="0" w:space="0" w:color="auto"/>
      </w:divBdr>
    </w:div>
    <w:div w:id="251083771">
      <w:bodyDiv w:val="1"/>
      <w:marLeft w:val="0"/>
      <w:marRight w:val="0"/>
      <w:marTop w:val="0"/>
      <w:marBottom w:val="0"/>
      <w:divBdr>
        <w:top w:val="none" w:sz="0" w:space="0" w:color="auto"/>
        <w:left w:val="none" w:sz="0" w:space="0" w:color="auto"/>
        <w:bottom w:val="none" w:sz="0" w:space="0" w:color="auto"/>
        <w:right w:val="none" w:sz="0" w:space="0" w:color="auto"/>
      </w:divBdr>
    </w:div>
    <w:div w:id="255477150">
      <w:bodyDiv w:val="1"/>
      <w:marLeft w:val="0"/>
      <w:marRight w:val="0"/>
      <w:marTop w:val="0"/>
      <w:marBottom w:val="0"/>
      <w:divBdr>
        <w:top w:val="none" w:sz="0" w:space="0" w:color="auto"/>
        <w:left w:val="none" w:sz="0" w:space="0" w:color="auto"/>
        <w:bottom w:val="none" w:sz="0" w:space="0" w:color="auto"/>
        <w:right w:val="none" w:sz="0" w:space="0" w:color="auto"/>
      </w:divBdr>
    </w:div>
    <w:div w:id="438912873">
      <w:bodyDiv w:val="1"/>
      <w:marLeft w:val="0"/>
      <w:marRight w:val="0"/>
      <w:marTop w:val="0"/>
      <w:marBottom w:val="0"/>
      <w:divBdr>
        <w:top w:val="none" w:sz="0" w:space="0" w:color="auto"/>
        <w:left w:val="none" w:sz="0" w:space="0" w:color="auto"/>
        <w:bottom w:val="none" w:sz="0" w:space="0" w:color="auto"/>
        <w:right w:val="none" w:sz="0" w:space="0" w:color="auto"/>
      </w:divBdr>
    </w:div>
    <w:div w:id="520123392">
      <w:bodyDiv w:val="1"/>
      <w:marLeft w:val="0"/>
      <w:marRight w:val="0"/>
      <w:marTop w:val="0"/>
      <w:marBottom w:val="0"/>
      <w:divBdr>
        <w:top w:val="none" w:sz="0" w:space="0" w:color="auto"/>
        <w:left w:val="none" w:sz="0" w:space="0" w:color="auto"/>
        <w:bottom w:val="none" w:sz="0" w:space="0" w:color="auto"/>
        <w:right w:val="none" w:sz="0" w:space="0" w:color="auto"/>
      </w:divBdr>
    </w:div>
    <w:div w:id="532957470">
      <w:bodyDiv w:val="1"/>
      <w:marLeft w:val="0"/>
      <w:marRight w:val="0"/>
      <w:marTop w:val="0"/>
      <w:marBottom w:val="0"/>
      <w:divBdr>
        <w:top w:val="none" w:sz="0" w:space="0" w:color="auto"/>
        <w:left w:val="none" w:sz="0" w:space="0" w:color="auto"/>
        <w:bottom w:val="none" w:sz="0" w:space="0" w:color="auto"/>
        <w:right w:val="none" w:sz="0" w:space="0" w:color="auto"/>
      </w:divBdr>
    </w:div>
    <w:div w:id="539124317">
      <w:bodyDiv w:val="1"/>
      <w:marLeft w:val="0"/>
      <w:marRight w:val="0"/>
      <w:marTop w:val="0"/>
      <w:marBottom w:val="0"/>
      <w:divBdr>
        <w:top w:val="none" w:sz="0" w:space="0" w:color="auto"/>
        <w:left w:val="none" w:sz="0" w:space="0" w:color="auto"/>
        <w:bottom w:val="none" w:sz="0" w:space="0" w:color="auto"/>
        <w:right w:val="none" w:sz="0" w:space="0" w:color="auto"/>
      </w:divBdr>
    </w:div>
    <w:div w:id="572935423">
      <w:bodyDiv w:val="1"/>
      <w:marLeft w:val="0"/>
      <w:marRight w:val="0"/>
      <w:marTop w:val="0"/>
      <w:marBottom w:val="0"/>
      <w:divBdr>
        <w:top w:val="none" w:sz="0" w:space="0" w:color="auto"/>
        <w:left w:val="none" w:sz="0" w:space="0" w:color="auto"/>
        <w:bottom w:val="none" w:sz="0" w:space="0" w:color="auto"/>
        <w:right w:val="none" w:sz="0" w:space="0" w:color="auto"/>
      </w:divBdr>
    </w:div>
    <w:div w:id="595016499">
      <w:bodyDiv w:val="1"/>
      <w:marLeft w:val="0"/>
      <w:marRight w:val="0"/>
      <w:marTop w:val="0"/>
      <w:marBottom w:val="0"/>
      <w:divBdr>
        <w:top w:val="none" w:sz="0" w:space="0" w:color="auto"/>
        <w:left w:val="none" w:sz="0" w:space="0" w:color="auto"/>
        <w:bottom w:val="none" w:sz="0" w:space="0" w:color="auto"/>
        <w:right w:val="none" w:sz="0" w:space="0" w:color="auto"/>
      </w:divBdr>
    </w:div>
    <w:div w:id="661931965">
      <w:bodyDiv w:val="1"/>
      <w:marLeft w:val="0"/>
      <w:marRight w:val="0"/>
      <w:marTop w:val="0"/>
      <w:marBottom w:val="0"/>
      <w:divBdr>
        <w:top w:val="none" w:sz="0" w:space="0" w:color="auto"/>
        <w:left w:val="none" w:sz="0" w:space="0" w:color="auto"/>
        <w:bottom w:val="none" w:sz="0" w:space="0" w:color="auto"/>
        <w:right w:val="none" w:sz="0" w:space="0" w:color="auto"/>
      </w:divBdr>
    </w:div>
    <w:div w:id="677737028">
      <w:bodyDiv w:val="1"/>
      <w:marLeft w:val="0"/>
      <w:marRight w:val="0"/>
      <w:marTop w:val="0"/>
      <w:marBottom w:val="0"/>
      <w:divBdr>
        <w:top w:val="none" w:sz="0" w:space="0" w:color="auto"/>
        <w:left w:val="none" w:sz="0" w:space="0" w:color="auto"/>
        <w:bottom w:val="none" w:sz="0" w:space="0" w:color="auto"/>
        <w:right w:val="none" w:sz="0" w:space="0" w:color="auto"/>
      </w:divBdr>
    </w:div>
    <w:div w:id="732117702">
      <w:bodyDiv w:val="1"/>
      <w:marLeft w:val="0"/>
      <w:marRight w:val="0"/>
      <w:marTop w:val="0"/>
      <w:marBottom w:val="0"/>
      <w:divBdr>
        <w:top w:val="none" w:sz="0" w:space="0" w:color="auto"/>
        <w:left w:val="none" w:sz="0" w:space="0" w:color="auto"/>
        <w:bottom w:val="none" w:sz="0" w:space="0" w:color="auto"/>
        <w:right w:val="none" w:sz="0" w:space="0" w:color="auto"/>
      </w:divBdr>
    </w:div>
    <w:div w:id="752506289">
      <w:bodyDiv w:val="1"/>
      <w:marLeft w:val="0"/>
      <w:marRight w:val="0"/>
      <w:marTop w:val="0"/>
      <w:marBottom w:val="0"/>
      <w:divBdr>
        <w:top w:val="none" w:sz="0" w:space="0" w:color="auto"/>
        <w:left w:val="none" w:sz="0" w:space="0" w:color="auto"/>
        <w:bottom w:val="none" w:sz="0" w:space="0" w:color="auto"/>
        <w:right w:val="none" w:sz="0" w:space="0" w:color="auto"/>
      </w:divBdr>
    </w:div>
    <w:div w:id="807819678">
      <w:bodyDiv w:val="1"/>
      <w:marLeft w:val="0"/>
      <w:marRight w:val="0"/>
      <w:marTop w:val="0"/>
      <w:marBottom w:val="0"/>
      <w:divBdr>
        <w:top w:val="none" w:sz="0" w:space="0" w:color="auto"/>
        <w:left w:val="none" w:sz="0" w:space="0" w:color="auto"/>
        <w:bottom w:val="none" w:sz="0" w:space="0" w:color="auto"/>
        <w:right w:val="none" w:sz="0" w:space="0" w:color="auto"/>
      </w:divBdr>
    </w:div>
    <w:div w:id="868953945">
      <w:bodyDiv w:val="1"/>
      <w:marLeft w:val="0"/>
      <w:marRight w:val="0"/>
      <w:marTop w:val="0"/>
      <w:marBottom w:val="0"/>
      <w:divBdr>
        <w:top w:val="none" w:sz="0" w:space="0" w:color="auto"/>
        <w:left w:val="none" w:sz="0" w:space="0" w:color="auto"/>
        <w:bottom w:val="none" w:sz="0" w:space="0" w:color="auto"/>
        <w:right w:val="none" w:sz="0" w:space="0" w:color="auto"/>
      </w:divBdr>
    </w:div>
    <w:div w:id="947200405">
      <w:bodyDiv w:val="1"/>
      <w:marLeft w:val="0"/>
      <w:marRight w:val="0"/>
      <w:marTop w:val="0"/>
      <w:marBottom w:val="0"/>
      <w:divBdr>
        <w:top w:val="none" w:sz="0" w:space="0" w:color="auto"/>
        <w:left w:val="none" w:sz="0" w:space="0" w:color="auto"/>
        <w:bottom w:val="none" w:sz="0" w:space="0" w:color="auto"/>
        <w:right w:val="none" w:sz="0" w:space="0" w:color="auto"/>
      </w:divBdr>
    </w:div>
    <w:div w:id="981926676">
      <w:bodyDiv w:val="1"/>
      <w:marLeft w:val="0"/>
      <w:marRight w:val="0"/>
      <w:marTop w:val="0"/>
      <w:marBottom w:val="0"/>
      <w:divBdr>
        <w:top w:val="none" w:sz="0" w:space="0" w:color="auto"/>
        <w:left w:val="none" w:sz="0" w:space="0" w:color="auto"/>
        <w:bottom w:val="none" w:sz="0" w:space="0" w:color="auto"/>
        <w:right w:val="none" w:sz="0" w:space="0" w:color="auto"/>
      </w:divBdr>
    </w:div>
    <w:div w:id="1018893998">
      <w:bodyDiv w:val="1"/>
      <w:marLeft w:val="0"/>
      <w:marRight w:val="0"/>
      <w:marTop w:val="0"/>
      <w:marBottom w:val="0"/>
      <w:divBdr>
        <w:top w:val="none" w:sz="0" w:space="0" w:color="auto"/>
        <w:left w:val="none" w:sz="0" w:space="0" w:color="auto"/>
        <w:bottom w:val="none" w:sz="0" w:space="0" w:color="auto"/>
        <w:right w:val="none" w:sz="0" w:space="0" w:color="auto"/>
      </w:divBdr>
    </w:div>
    <w:div w:id="1038049281">
      <w:bodyDiv w:val="1"/>
      <w:marLeft w:val="0"/>
      <w:marRight w:val="0"/>
      <w:marTop w:val="0"/>
      <w:marBottom w:val="0"/>
      <w:divBdr>
        <w:top w:val="none" w:sz="0" w:space="0" w:color="auto"/>
        <w:left w:val="none" w:sz="0" w:space="0" w:color="auto"/>
        <w:bottom w:val="none" w:sz="0" w:space="0" w:color="auto"/>
        <w:right w:val="none" w:sz="0" w:space="0" w:color="auto"/>
      </w:divBdr>
    </w:div>
    <w:div w:id="1116214594">
      <w:bodyDiv w:val="1"/>
      <w:marLeft w:val="0"/>
      <w:marRight w:val="0"/>
      <w:marTop w:val="0"/>
      <w:marBottom w:val="0"/>
      <w:divBdr>
        <w:top w:val="none" w:sz="0" w:space="0" w:color="auto"/>
        <w:left w:val="none" w:sz="0" w:space="0" w:color="auto"/>
        <w:bottom w:val="none" w:sz="0" w:space="0" w:color="auto"/>
        <w:right w:val="none" w:sz="0" w:space="0" w:color="auto"/>
      </w:divBdr>
    </w:div>
    <w:div w:id="1125007626">
      <w:bodyDiv w:val="1"/>
      <w:marLeft w:val="0"/>
      <w:marRight w:val="0"/>
      <w:marTop w:val="0"/>
      <w:marBottom w:val="0"/>
      <w:divBdr>
        <w:top w:val="none" w:sz="0" w:space="0" w:color="auto"/>
        <w:left w:val="none" w:sz="0" w:space="0" w:color="auto"/>
        <w:bottom w:val="none" w:sz="0" w:space="0" w:color="auto"/>
        <w:right w:val="none" w:sz="0" w:space="0" w:color="auto"/>
      </w:divBdr>
    </w:div>
    <w:div w:id="1139221783">
      <w:bodyDiv w:val="1"/>
      <w:marLeft w:val="0"/>
      <w:marRight w:val="0"/>
      <w:marTop w:val="0"/>
      <w:marBottom w:val="0"/>
      <w:divBdr>
        <w:top w:val="none" w:sz="0" w:space="0" w:color="auto"/>
        <w:left w:val="none" w:sz="0" w:space="0" w:color="auto"/>
        <w:bottom w:val="none" w:sz="0" w:space="0" w:color="auto"/>
        <w:right w:val="none" w:sz="0" w:space="0" w:color="auto"/>
      </w:divBdr>
    </w:div>
    <w:div w:id="1196767468">
      <w:bodyDiv w:val="1"/>
      <w:marLeft w:val="0"/>
      <w:marRight w:val="0"/>
      <w:marTop w:val="0"/>
      <w:marBottom w:val="0"/>
      <w:divBdr>
        <w:top w:val="none" w:sz="0" w:space="0" w:color="auto"/>
        <w:left w:val="none" w:sz="0" w:space="0" w:color="auto"/>
        <w:bottom w:val="none" w:sz="0" w:space="0" w:color="auto"/>
        <w:right w:val="none" w:sz="0" w:space="0" w:color="auto"/>
      </w:divBdr>
    </w:div>
    <w:div w:id="1200825013">
      <w:bodyDiv w:val="1"/>
      <w:marLeft w:val="0"/>
      <w:marRight w:val="0"/>
      <w:marTop w:val="0"/>
      <w:marBottom w:val="0"/>
      <w:divBdr>
        <w:top w:val="none" w:sz="0" w:space="0" w:color="auto"/>
        <w:left w:val="none" w:sz="0" w:space="0" w:color="auto"/>
        <w:bottom w:val="none" w:sz="0" w:space="0" w:color="auto"/>
        <w:right w:val="none" w:sz="0" w:space="0" w:color="auto"/>
      </w:divBdr>
    </w:div>
    <w:div w:id="1213737211">
      <w:bodyDiv w:val="1"/>
      <w:marLeft w:val="0"/>
      <w:marRight w:val="0"/>
      <w:marTop w:val="0"/>
      <w:marBottom w:val="0"/>
      <w:divBdr>
        <w:top w:val="none" w:sz="0" w:space="0" w:color="auto"/>
        <w:left w:val="none" w:sz="0" w:space="0" w:color="auto"/>
        <w:bottom w:val="none" w:sz="0" w:space="0" w:color="auto"/>
        <w:right w:val="none" w:sz="0" w:space="0" w:color="auto"/>
      </w:divBdr>
    </w:div>
    <w:div w:id="1247039090">
      <w:bodyDiv w:val="1"/>
      <w:marLeft w:val="0"/>
      <w:marRight w:val="0"/>
      <w:marTop w:val="0"/>
      <w:marBottom w:val="0"/>
      <w:divBdr>
        <w:top w:val="none" w:sz="0" w:space="0" w:color="auto"/>
        <w:left w:val="none" w:sz="0" w:space="0" w:color="auto"/>
        <w:bottom w:val="none" w:sz="0" w:space="0" w:color="auto"/>
        <w:right w:val="none" w:sz="0" w:space="0" w:color="auto"/>
      </w:divBdr>
    </w:div>
    <w:div w:id="1407189147">
      <w:bodyDiv w:val="1"/>
      <w:marLeft w:val="0"/>
      <w:marRight w:val="0"/>
      <w:marTop w:val="0"/>
      <w:marBottom w:val="0"/>
      <w:divBdr>
        <w:top w:val="none" w:sz="0" w:space="0" w:color="auto"/>
        <w:left w:val="none" w:sz="0" w:space="0" w:color="auto"/>
        <w:bottom w:val="none" w:sz="0" w:space="0" w:color="auto"/>
        <w:right w:val="none" w:sz="0" w:space="0" w:color="auto"/>
      </w:divBdr>
    </w:div>
    <w:div w:id="1511021140">
      <w:bodyDiv w:val="1"/>
      <w:marLeft w:val="0"/>
      <w:marRight w:val="0"/>
      <w:marTop w:val="0"/>
      <w:marBottom w:val="0"/>
      <w:divBdr>
        <w:top w:val="none" w:sz="0" w:space="0" w:color="auto"/>
        <w:left w:val="none" w:sz="0" w:space="0" w:color="auto"/>
        <w:bottom w:val="none" w:sz="0" w:space="0" w:color="auto"/>
        <w:right w:val="none" w:sz="0" w:space="0" w:color="auto"/>
      </w:divBdr>
    </w:div>
    <w:div w:id="1548948424">
      <w:bodyDiv w:val="1"/>
      <w:marLeft w:val="0"/>
      <w:marRight w:val="0"/>
      <w:marTop w:val="0"/>
      <w:marBottom w:val="0"/>
      <w:divBdr>
        <w:top w:val="none" w:sz="0" w:space="0" w:color="auto"/>
        <w:left w:val="none" w:sz="0" w:space="0" w:color="auto"/>
        <w:bottom w:val="none" w:sz="0" w:space="0" w:color="auto"/>
        <w:right w:val="none" w:sz="0" w:space="0" w:color="auto"/>
      </w:divBdr>
    </w:div>
    <w:div w:id="1562516112">
      <w:bodyDiv w:val="1"/>
      <w:marLeft w:val="0"/>
      <w:marRight w:val="0"/>
      <w:marTop w:val="0"/>
      <w:marBottom w:val="0"/>
      <w:divBdr>
        <w:top w:val="none" w:sz="0" w:space="0" w:color="auto"/>
        <w:left w:val="none" w:sz="0" w:space="0" w:color="auto"/>
        <w:bottom w:val="none" w:sz="0" w:space="0" w:color="auto"/>
        <w:right w:val="none" w:sz="0" w:space="0" w:color="auto"/>
      </w:divBdr>
    </w:div>
    <w:div w:id="1576819193">
      <w:bodyDiv w:val="1"/>
      <w:marLeft w:val="0"/>
      <w:marRight w:val="0"/>
      <w:marTop w:val="0"/>
      <w:marBottom w:val="0"/>
      <w:divBdr>
        <w:top w:val="none" w:sz="0" w:space="0" w:color="auto"/>
        <w:left w:val="none" w:sz="0" w:space="0" w:color="auto"/>
        <w:bottom w:val="none" w:sz="0" w:space="0" w:color="auto"/>
        <w:right w:val="none" w:sz="0" w:space="0" w:color="auto"/>
      </w:divBdr>
    </w:div>
    <w:div w:id="1594850857">
      <w:bodyDiv w:val="1"/>
      <w:marLeft w:val="0"/>
      <w:marRight w:val="0"/>
      <w:marTop w:val="0"/>
      <w:marBottom w:val="0"/>
      <w:divBdr>
        <w:top w:val="none" w:sz="0" w:space="0" w:color="auto"/>
        <w:left w:val="none" w:sz="0" w:space="0" w:color="auto"/>
        <w:bottom w:val="none" w:sz="0" w:space="0" w:color="auto"/>
        <w:right w:val="none" w:sz="0" w:space="0" w:color="auto"/>
      </w:divBdr>
    </w:div>
    <w:div w:id="1640108082">
      <w:bodyDiv w:val="1"/>
      <w:marLeft w:val="0"/>
      <w:marRight w:val="0"/>
      <w:marTop w:val="0"/>
      <w:marBottom w:val="0"/>
      <w:divBdr>
        <w:top w:val="none" w:sz="0" w:space="0" w:color="auto"/>
        <w:left w:val="none" w:sz="0" w:space="0" w:color="auto"/>
        <w:bottom w:val="none" w:sz="0" w:space="0" w:color="auto"/>
        <w:right w:val="none" w:sz="0" w:space="0" w:color="auto"/>
      </w:divBdr>
    </w:div>
    <w:div w:id="1710715271">
      <w:bodyDiv w:val="1"/>
      <w:marLeft w:val="0"/>
      <w:marRight w:val="0"/>
      <w:marTop w:val="0"/>
      <w:marBottom w:val="0"/>
      <w:divBdr>
        <w:top w:val="none" w:sz="0" w:space="0" w:color="auto"/>
        <w:left w:val="none" w:sz="0" w:space="0" w:color="auto"/>
        <w:bottom w:val="none" w:sz="0" w:space="0" w:color="auto"/>
        <w:right w:val="none" w:sz="0" w:space="0" w:color="auto"/>
      </w:divBdr>
    </w:div>
    <w:div w:id="1718041973">
      <w:bodyDiv w:val="1"/>
      <w:marLeft w:val="0"/>
      <w:marRight w:val="0"/>
      <w:marTop w:val="0"/>
      <w:marBottom w:val="0"/>
      <w:divBdr>
        <w:top w:val="none" w:sz="0" w:space="0" w:color="auto"/>
        <w:left w:val="none" w:sz="0" w:space="0" w:color="auto"/>
        <w:bottom w:val="none" w:sz="0" w:space="0" w:color="auto"/>
        <w:right w:val="none" w:sz="0" w:space="0" w:color="auto"/>
      </w:divBdr>
    </w:div>
    <w:div w:id="1817917151">
      <w:bodyDiv w:val="1"/>
      <w:marLeft w:val="0"/>
      <w:marRight w:val="0"/>
      <w:marTop w:val="0"/>
      <w:marBottom w:val="0"/>
      <w:divBdr>
        <w:top w:val="none" w:sz="0" w:space="0" w:color="auto"/>
        <w:left w:val="none" w:sz="0" w:space="0" w:color="auto"/>
        <w:bottom w:val="none" w:sz="0" w:space="0" w:color="auto"/>
        <w:right w:val="none" w:sz="0" w:space="0" w:color="auto"/>
      </w:divBdr>
    </w:div>
    <w:div w:id="1832790353">
      <w:bodyDiv w:val="1"/>
      <w:marLeft w:val="0"/>
      <w:marRight w:val="0"/>
      <w:marTop w:val="0"/>
      <w:marBottom w:val="0"/>
      <w:divBdr>
        <w:top w:val="none" w:sz="0" w:space="0" w:color="auto"/>
        <w:left w:val="none" w:sz="0" w:space="0" w:color="auto"/>
        <w:bottom w:val="none" w:sz="0" w:space="0" w:color="auto"/>
        <w:right w:val="none" w:sz="0" w:space="0" w:color="auto"/>
      </w:divBdr>
    </w:div>
    <w:div w:id="209966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3415</Words>
  <Characters>19469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Riyo Sebastian</dc:creator>
  <cp:keywords/>
  <dc:description/>
  <cp:lastModifiedBy>Riyo Sebastian</cp:lastModifiedBy>
  <cp:revision>2</cp:revision>
  <dcterms:created xsi:type="dcterms:W3CDTF">2025-04-08T00:55:00Z</dcterms:created>
  <dcterms:modified xsi:type="dcterms:W3CDTF">2025-04-08T00:55:00Z</dcterms:modified>
</cp:coreProperties>
</file>