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1559F" w14:textId="0F170069" w:rsidR="008167CD" w:rsidRPr="008167CD" w:rsidRDefault="008167CD">
      <w:pPr>
        <w:rPr>
          <w:rFonts w:ascii="Times New Roman" w:hAnsi="Times New Roman" w:cs="Times New Roman"/>
          <w:b/>
          <w:bCs/>
          <w:u w:val="single"/>
        </w:rPr>
      </w:pPr>
      <w:bookmarkStart w:id="0" w:name="_Hlk188902495"/>
      <w:r w:rsidRPr="008167CD">
        <w:rPr>
          <w:rFonts w:ascii="Times New Roman" w:hAnsi="Times New Roman" w:cs="Times New Roman"/>
          <w:b/>
          <w:bCs/>
          <w:u w:val="single"/>
        </w:rPr>
        <w:t>Analysis and Insights</w:t>
      </w:r>
    </w:p>
    <w:p w14:paraId="467C9C8C" w14:textId="2AFB6D00" w:rsidR="00AC3A21" w:rsidRPr="008167CD" w:rsidRDefault="54C3E1E2">
      <w:p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Monthly cost price difference</w:t>
      </w:r>
      <w:r w:rsidR="55F3DCA2" w:rsidRPr="008167CD">
        <w:rPr>
          <w:rFonts w:ascii="Times New Roman" w:hAnsi="Times New Roman" w:cs="Times New Roman"/>
        </w:rPr>
        <w:t xml:space="preserve"> – Taken top 6 high valued tickers</w:t>
      </w:r>
      <w:r w:rsidR="7FFE4B2C" w:rsidRPr="008167CD">
        <w:rPr>
          <w:rFonts w:ascii="Times New Roman" w:hAnsi="Times New Roman" w:cs="Times New Roman"/>
        </w:rPr>
        <w:t xml:space="preserve"> (</w:t>
      </w:r>
      <w:r w:rsidR="00635EE4" w:rsidRPr="008167CD">
        <w:rPr>
          <w:rFonts w:ascii="Times New Roman" w:hAnsi="Times New Roman" w:cs="Times New Roman"/>
        </w:rPr>
        <w:t xml:space="preserve">highest </w:t>
      </w:r>
      <w:r w:rsidR="7FFE4B2C" w:rsidRPr="008167CD">
        <w:rPr>
          <w:rFonts w:ascii="Times New Roman" w:hAnsi="Times New Roman" w:cs="Times New Roman"/>
        </w:rPr>
        <w:t>Volume* C</w:t>
      </w:r>
      <w:r w:rsidR="00D01B88" w:rsidRPr="008167CD">
        <w:rPr>
          <w:rFonts w:ascii="Times New Roman" w:hAnsi="Times New Roman" w:cs="Times New Roman"/>
        </w:rPr>
        <w:t>lose value</w:t>
      </w:r>
      <w:r w:rsidR="7FFE4B2C" w:rsidRPr="008167CD">
        <w:rPr>
          <w:rFonts w:ascii="Times New Roman" w:hAnsi="Times New Roman" w:cs="Times New Roman"/>
        </w:rPr>
        <w:t>)</w:t>
      </w:r>
      <w:r w:rsidR="55F3DCA2" w:rsidRPr="008167CD">
        <w:rPr>
          <w:rFonts w:ascii="Times New Roman" w:hAnsi="Times New Roman" w:cs="Times New Roman"/>
        </w:rPr>
        <w:t xml:space="preserve"> or company to understand the cost price deflection compared to the cost </w:t>
      </w:r>
      <w:r w:rsidR="459B1D2B" w:rsidRPr="008167CD">
        <w:rPr>
          <w:rFonts w:ascii="Times New Roman" w:hAnsi="Times New Roman" w:cs="Times New Roman"/>
        </w:rPr>
        <w:t>price of the start day.</w:t>
      </w:r>
    </w:p>
    <w:p w14:paraId="25916921" w14:textId="27529E80" w:rsidR="00AC3A21" w:rsidRPr="008167CD" w:rsidRDefault="1A6F4AD8">
      <w:p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Top 6 high valued sectors are: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5EECCAC3" w:rsidRPr="008167CD" w14:paraId="38339B8B" w14:textId="77777777" w:rsidTr="00A92E00">
        <w:trPr>
          <w:trHeight w:val="300"/>
        </w:trPr>
        <w:tc>
          <w:tcPr>
            <w:tcW w:w="2254" w:type="dxa"/>
            <w:shd w:val="clear" w:color="auto" w:fill="F6C5AC" w:themeFill="accent2" w:themeFillTint="66"/>
          </w:tcPr>
          <w:p w14:paraId="3F8D331A" w14:textId="4350F79D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Sector</w:t>
            </w:r>
          </w:p>
        </w:tc>
        <w:tc>
          <w:tcPr>
            <w:tcW w:w="2254" w:type="dxa"/>
            <w:shd w:val="clear" w:color="auto" w:fill="F6C5AC" w:themeFill="accent2" w:themeFillTint="66"/>
          </w:tcPr>
          <w:p w14:paraId="575D89F1" w14:textId="56A52964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2254" w:type="dxa"/>
            <w:shd w:val="clear" w:color="auto" w:fill="F6C5AC" w:themeFill="accent2" w:themeFillTint="66"/>
          </w:tcPr>
          <w:p w14:paraId="6C780095" w14:textId="3A93DDFD" w:rsidR="6D9F546E" w:rsidRPr="008167CD" w:rsidRDefault="6D9F546E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Sector</w:t>
            </w:r>
          </w:p>
        </w:tc>
        <w:tc>
          <w:tcPr>
            <w:tcW w:w="2254" w:type="dxa"/>
            <w:shd w:val="clear" w:color="auto" w:fill="F6C5AC" w:themeFill="accent2" w:themeFillTint="66"/>
          </w:tcPr>
          <w:p w14:paraId="0CA8C878" w14:textId="06B6C20D" w:rsidR="6D9F546E" w:rsidRPr="008167CD" w:rsidRDefault="6D9F546E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Industry</w:t>
            </w:r>
          </w:p>
        </w:tc>
      </w:tr>
      <w:tr w:rsidR="5EECCAC3" w:rsidRPr="008167CD" w14:paraId="29F46A34" w14:textId="77777777" w:rsidTr="5EECCAC3">
        <w:trPr>
          <w:trHeight w:val="300"/>
        </w:trPr>
        <w:tc>
          <w:tcPr>
            <w:tcW w:w="2254" w:type="dxa"/>
          </w:tcPr>
          <w:p w14:paraId="7FFFB23E" w14:textId="7BEFA8AC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CNQ.TO</w:t>
            </w:r>
          </w:p>
        </w:tc>
        <w:tc>
          <w:tcPr>
            <w:tcW w:w="2254" w:type="dxa"/>
          </w:tcPr>
          <w:p w14:paraId="129DFEC4" w14:textId="2F87FCA5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CDN NATURAL RES</w:t>
            </w:r>
          </w:p>
        </w:tc>
        <w:tc>
          <w:tcPr>
            <w:tcW w:w="2254" w:type="dxa"/>
          </w:tcPr>
          <w:p w14:paraId="6BD5200D" w14:textId="2C6C3D8C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Energy</w:t>
            </w:r>
          </w:p>
        </w:tc>
        <w:tc>
          <w:tcPr>
            <w:tcW w:w="2254" w:type="dxa"/>
          </w:tcPr>
          <w:p w14:paraId="73FEBD15" w14:textId="6242CE69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Oil &amp; Gas E&amp;P</w:t>
            </w:r>
          </w:p>
        </w:tc>
      </w:tr>
      <w:tr w:rsidR="5EECCAC3" w:rsidRPr="008167CD" w14:paraId="3F82455D" w14:textId="77777777" w:rsidTr="5EECCAC3">
        <w:trPr>
          <w:trHeight w:val="300"/>
        </w:trPr>
        <w:tc>
          <w:tcPr>
            <w:tcW w:w="2254" w:type="dxa"/>
          </w:tcPr>
          <w:p w14:paraId="775467DF" w14:textId="4AC3E5D5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BMO.TO</w:t>
            </w:r>
          </w:p>
        </w:tc>
        <w:tc>
          <w:tcPr>
            <w:tcW w:w="2254" w:type="dxa"/>
          </w:tcPr>
          <w:p w14:paraId="08FDBD19" w14:textId="2369E84A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BANK OF MONTREAL</w:t>
            </w:r>
          </w:p>
        </w:tc>
        <w:tc>
          <w:tcPr>
            <w:tcW w:w="2254" w:type="dxa"/>
          </w:tcPr>
          <w:p w14:paraId="1FD245C1" w14:textId="50087173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Financial Services</w:t>
            </w:r>
          </w:p>
        </w:tc>
        <w:tc>
          <w:tcPr>
            <w:tcW w:w="2254" w:type="dxa"/>
          </w:tcPr>
          <w:p w14:paraId="406A8CAF" w14:textId="31940EFE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Banks - Diversified</w:t>
            </w:r>
          </w:p>
        </w:tc>
      </w:tr>
      <w:tr w:rsidR="5EECCAC3" w:rsidRPr="008167CD" w14:paraId="7DB34FD7" w14:textId="77777777" w:rsidTr="5EECCAC3">
        <w:trPr>
          <w:trHeight w:val="300"/>
        </w:trPr>
        <w:tc>
          <w:tcPr>
            <w:tcW w:w="2254" w:type="dxa"/>
          </w:tcPr>
          <w:p w14:paraId="74289B6E" w14:textId="5EB46122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CM.TO</w:t>
            </w:r>
          </w:p>
        </w:tc>
        <w:tc>
          <w:tcPr>
            <w:tcW w:w="2254" w:type="dxa"/>
          </w:tcPr>
          <w:p w14:paraId="4FA50403" w14:textId="3384481A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CANADIAN IMPERIAL BANK OF COMME</w:t>
            </w:r>
          </w:p>
        </w:tc>
        <w:tc>
          <w:tcPr>
            <w:tcW w:w="2254" w:type="dxa"/>
          </w:tcPr>
          <w:p w14:paraId="2C96F22E" w14:textId="2E1C3AB7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Financial Services</w:t>
            </w:r>
          </w:p>
        </w:tc>
        <w:tc>
          <w:tcPr>
            <w:tcW w:w="2254" w:type="dxa"/>
          </w:tcPr>
          <w:p w14:paraId="6202BA02" w14:textId="3E029030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Banks - Diversified</w:t>
            </w:r>
          </w:p>
        </w:tc>
      </w:tr>
      <w:tr w:rsidR="5EECCAC3" w:rsidRPr="008167CD" w14:paraId="26F5F6CA" w14:textId="77777777" w:rsidTr="5EECCAC3">
        <w:trPr>
          <w:trHeight w:val="300"/>
        </w:trPr>
        <w:tc>
          <w:tcPr>
            <w:tcW w:w="2254" w:type="dxa"/>
          </w:tcPr>
          <w:p w14:paraId="18300AAE" w14:textId="20659705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CNR.TO</w:t>
            </w:r>
          </w:p>
        </w:tc>
        <w:tc>
          <w:tcPr>
            <w:tcW w:w="2254" w:type="dxa"/>
          </w:tcPr>
          <w:p w14:paraId="3331F892" w14:textId="671B8440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CANADIAN NATIONAL RAILWAY CO.</w:t>
            </w:r>
          </w:p>
        </w:tc>
        <w:tc>
          <w:tcPr>
            <w:tcW w:w="2254" w:type="dxa"/>
          </w:tcPr>
          <w:p w14:paraId="6D4F648C" w14:textId="7F7F73EA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Industrials</w:t>
            </w:r>
          </w:p>
        </w:tc>
        <w:tc>
          <w:tcPr>
            <w:tcW w:w="2254" w:type="dxa"/>
          </w:tcPr>
          <w:p w14:paraId="570FE713" w14:textId="7C430C35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Railroads</w:t>
            </w:r>
          </w:p>
        </w:tc>
      </w:tr>
      <w:tr w:rsidR="5EECCAC3" w:rsidRPr="008167CD" w14:paraId="144AB19E" w14:textId="77777777" w:rsidTr="5EECCAC3">
        <w:trPr>
          <w:trHeight w:val="300"/>
        </w:trPr>
        <w:tc>
          <w:tcPr>
            <w:tcW w:w="2254" w:type="dxa"/>
          </w:tcPr>
          <w:p w14:paraId="6B38BFA3" w14:textId="4A1B843A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ABX.TO</w:t>
            </w:r>
          </w:p>
        </w:tc>
        <w:tc>
          <w:tcPr>
            <w:tcW w:w="2254" w:type="dxa"/>
          </w:tcPr>
          <w:p w14:paraId="21EC083C" w14:textId="4185D1B7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BARRICK GOLD CORPORATION</w:t>
            </w:r>
          </w:p>
        </w:tc>
        <w:tc>
          <w:tcPr>
            <w:tcW w:w="2254" w:type="dxa"/>
          </w:tcPr>
          <w:p w14:paraId="1BA482A3" w14:textId="48BF52EE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Basic Materials</w:t>
            </w:r>
          </w:p>
        </w:tc>
        <w:tc>
          <w:tcPr>
            <w:tcW w:w="2254" w:type="dxa"/>
          </w:tcPr>
          <w:p w14:paraId="5ABA77C2" w14:textId="4CC0F9FA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 xml:space="preserve">Gold  </w:t>
            </w:r>
          </w:p>
        </w:tc>
      </w:tr>
      <w:tr w:rsidR="5EECCAC3" w:rsidRPr="008167CD" w14:paraId="3FA8A54D" w14:textId="77777777" w:rsidTr="5EECCAC3">
        <w:trPr>
          <w:trHeight w:val="300"/>
        </w:trPr>
        <w:tc>
          <w:tcPr>
            <w:tcW w:w="2254" w:type="dxa"/>
          </w:tcPr>
          <w:p w14:paraId="2C52BCF9" w14:textId="6539EDE9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 xml:space="preserve">BNS.TO  </w:t>
            </w:r>
          </w:p>
        </w:tc>
        <w:tc>
          <w:tcPr>
            <w:tcW w:w="2254" w:type="dxa"/>
          </w:tcPr>
          <w:p w14:paraId="418F20FF" w14:textId="63DA5564" w:rsidR="6DC2AC4B" w:rsidRPr="008167CD" w:rsidRDefault="6DC2AC4B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BANK OF NOVA SCOTIA</w:t>
            </w:r>
          </w:p>
        </w:tc>
        <w:tc>
          <w:tcPr>
            <w:tcW w:w="2254" w:type="dxa"/>
          </w:tcPr>
          <w:p w14:paraId="0D16911B" w14:textId="27D48E49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Financial Services</w:t>
            </w:r>
          </w:p>
        </w:tc>
        <w:tc>
          <w:tcPr>
            <w:tcW w:w="2254" w:type="dxa"/>
          </w:tcPr>
          <w:p w14:paraId="4BC18556" w14:textId="77174F9C" w:rsidR="1A6F4AD8" w:rsidRPr="008167CD" w:rsidRDefault="1A6F4AD8" w:rsidP="5EECCAC3">
            <w:pPr>
              <w:rPr>
                <w:rFonts w:ascii="Times New Roman" w:hAnsi="Times New Roman" w:cs="Times New Roman"/>
              </w:rPr>
            </w:pPr>
            <w:r w:rsidRPr="008167CD">
              <w:rPr>
                <w:rFonts w:ascii="Times New Roman" w:hAnsi="Times New Roman" w:cs="Times New Roman"/>
              </w:rPr>
              <w:t>Banks - Diversified</w:t>
            </w:r>
          </w:p>
        </w:tc>
      </w:tr>
    </w:tbl>
    <w:p w14:paraId="55B79A64" w14:textId="2A70482D" w:rsidR="00AC3A21" w:rsidRPr="008167CD" w:rsidRDefault="54C3E1E2">
      <w:p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 </w:t>
      </w:r>
      <w:r w:rsidR="00092E12" w:rsidRPr="008167CD">
        <w:rPr>
          <w:rFonts w:ascii="Times New Roman" w:hAnsi="Times New Roman" w:cs="Times New Roman"/>
          <w:noProof/>
        </w:rPr>
        <w:drawing>
          <wp:inline distT="0" distB="0" distL="0" distR="0" wp14:anchorId="308DBA58" wp14:editId="2E6F40E3">
            <wp:extent cx="5731510" cy="3817620"/>
            <wp:effectExtent l="0" t="0" r="2540" b="0"/>
            <wp:docPr id="144340656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0656" name="Picture 1" descr="A graph of different colored line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67CD">
        <w:rPr>
          <w:rFonts w:ascii="Times New Roman" w:hAnsi="Times New Roman" w:cs="Times New Roman"/>
        </w:rPr>
        <w:br/>
      </w:r>
      <w:r w:rsidR="6E5533BC" w:rsidRPr="008167CD">
        <w:rPr>
          <w:rFonts w:ascii="Times New Roman" w:hAnsi="Times New Roman" w:cs="Times New Roman"/>
        </w:rPr>
        <w:t>Observation</w:t>
      </w:r>
      <w:r w:rsidR="21A49710" w:rsidRPr="008167CD">
        <w:rPr>
          <w:rFonts w:ascii="Times New Roman" w:hAnsi="Times New Roman" w:cs="Times New Roman"/>
        </w:rPr>
        <w:t xml:space="preserve"> from analysis:</w:t>
      </w:r>
    </w:p>
    <w:p w14:paraId="0E4A65DE" w14:textId="6D0BB75D" w:rsidR="00AC3A21" w:rsidRPr="008167CD" w:rsidRDefault="21A49710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Sector which is highly valued are </w:t>
      </w:r>
      <w:r w:rsidR="4E003046" w:rsidRPr="008167CD">
        <w:rPr>
          <w:rFonts w:ascii="Times New Roman" w:hAnsi="Times New Roman" w:cs="Times New Roman"/>
        </w:rPr>
        <w:t>Oil &amp; Gas E&amp;P, Banks, Railway and Gold.</w:t>
      </w:r>
    </w:p>
    <w:p w14:paraId="4D550511" w14:textId="4CC7B51E" w:rsidR="00AC3A21" w:rsidRPr="008167CD" w:rsidRDefault="352BF591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  <w:b/>
          <w:bCs/>
        </w:rPr>
        <w:t>Stock Growth Trends</w:t>
      </w:r>
      <w:r w:rsidRPr="008167CD">
        <w:rPr>
          <w:rFonts w:ascii="Times New Roman" w:hAnsi="Times New Roman" w:cs="Times New Roman"/>
        </w:rPr>
        <w:t>:</w:t>
      </w:r>
    </w:p>
    <w:p w14:paraId="26471DDC" w14:textId="5FAE7497" w:rsidR="00AC3A21" w:rsidRPr="008167CD" w:rsidRDefault="352BF591" w:rsidP="5EECCAC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lastRenderedPageBreak/>
        <w:t>The chart shows price differences from a base date (2004-12-01).</w:t>
      </w:r>
    </w:p>
    <w:p w14:paraId="79CFE349" w14:textId="0EBA54FE" w:rsidR="00AC3A21" w:rsidRPr="008167CD" w:rsidRDefault="352BF591" w:rsidP="5EECCAC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Some stocks (like </w:t>
      </w:r>
      <w:r w:rsidRPr="008167CD">
        <w:rPr>
          <w:rFonts w:ascii="Times New Roman" w:hAnsi="Times New Roman" w:cs="Times New Roman"/>
          <w:b/>
          <w:bCs/>
        </w:rPr>
        <w:t>CNR.TO</w:t>
      </w:r>
      <w:r w:rsidRPr="008167CD">
        <w:rPr>
          <w:rFonts w:ascii="Times New Roman" w:hAnsi="Times New Roman" w:cs="Times New Roman"/>
        </w:rPr>
        <w:t xml:space="preserve"> and </w:t>
      </w:r>
      <w:r w:rsidRPr="008167CD">
        <w:rPr>
          <w:rFonts w:ascii="Times New Roman" w:hAnsi="Times New Roman" w:cs="Times New Roman"/>
          <w:b/>
          <w:bCs/>
        </w:rPr>
        <w:t>BMO.TO</w:t>
      </w:r>
      <w:r w:rsidRPr="008167CD">
        <w:rPr>
          <w:rFonts w:ascii="Times New Roman" w:hAnsi="Times New Roman" w:cs="Times New Roman"/>
        </w:rPr>
        <w:t>) have experienced consistent long-term growth, making them strong candidates for stable investments.</w:t>
      </w:r>
    </w:p>
    <w:p w14:paraId="1A6AB18E" w14:textId="6F3E6E41" w:rsidR="00AC3A21" w:rsidRPr="008167CD" w:rsidRDefault="352BF591" w:rsidP="5EECCAC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Others (like </w:t>
      </w:r>
      <w:r w:rsidRPr="008167CD">
        <w:rPr>
          <w:rFonts w:ascii="Times New Roman" w:hAnsi="Times New Roman" w:cs="Times New Roman"/>
          <w:b/>
          <w:bCs/>
        </w:rPr>
        <w:t>ABX.TO</w:t>
      </w:r>
      <w:r w:rsidRPr="008167CD">
        <w:rPr>
          <w:rFonts w:ascii="Times New Roman" w:hAnsi="Times New Roman" w:cs="Times New Roman"/>
        </w:rPr>
        <w:t>) have shown fluctuations, suggesting more volatility.</w:t>
      </w:r>
    </w:p>
    <w:p w14:paraId="08084B45" w14:textId="7C19B9C6" w:rsidR="00AC3A21" w:rsidRPr="008167CD" w:rsidRDefault="21E13E53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  <w:b/>
          <w:bCs/>
        </w:rPr>
        <w:t>Volatility and Risk</w:t>
      </w:r>
      <w:r w:rsidRPr="008167CD">
        <w:rPr>
          <w:rFonts w:ascii="Times New Roman" w:hAnsi="Times New Roman" w:cs="Times New Roman"/>
        </w:rPr>
        <w:t>:</w:t>
      </w:r>
    </w:p>
    <w:p w14:paraId="377AD045" w14:textId="31F6A196" w:rsidR="00AC3A21" w:rsidRPr="008167CD" w:rsidRDefault="21E13E53" w:rsidP="5EECCAC3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Stocks with </w:t>
      </w:r>
      <w:r w:rsidRPr="008167CD">
        <w:rPr>
          <w:rFonts w:ascii="Times New Roman" w:hAnsi="Times New Roman" w:cs="Times New Roman"/>
          <w:b/>
          <w:bCs/>
        </w:rPr>
        <w:t>higher price swings</w:t>
      </w:r>
      <w:r w:rsidRPr="008167CD">
        <w:rPr>
          <w:rFonts w:ascii="Times New Roman" w:hAnsi="Times New Roman" w:cs="Times New Roman"/>
        </w:rPr>
        <w:t xml:space="preserve"> (e.g., ABX.TO) may be riskier but offer short-term trading opportunities.</w:t>
      </w:r>
    </w:p>
    <w:p w14:paraId="62B08F19" w14:textId="3F150A36" w:rsidR="00AC3A21" w:rsidRPr="008167CD" w:rsidRDefault="21E13E53" w:rsidP="5EECCAC3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Stable stocks (e.g., CNR.TO) are more suited for long-term, low-risk investors.</w:t>
      </w:r>
    </w:p>
    <w:p w14:paraId="5C87C4C7" w14:textId="152D7B92" w:rsidR="00AC3A21" w:rsidRPr="008167CD" w:rsidRDefault="21E13E53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  <w:b/>
          <w:bCs/>
        </w:rPr>
        <w:t>Investment Timing Matters</w:t>
      </w:r>
      <w:r w:rsidRPr="008167CD">
        <w:rPr>
          <w:rFonts w:ascii="Times New Roman" w:hAnsi="Times New Roman" w:cs="Times New Roman"/>
        </w:rPr>
        <w:t>:</w:t>
      </w:r>
    </w:p>
    <w:p w14:paraId="4BF08024" w14:textId="27717DA6" w:rsidR="00AC3A21" w:rsidRPr="008167CD" w:rsidRDefault="21E13E53" w:rsidP="5EECCAC3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The 2008 and 2020 financial crises are visible as dips in stock prices.</w:t>
      </w:r>
    </w:p>
    <w:p w14:paraId="396FD235" w14:textId="73295541" w:rsidR="00AC3A21" w:rsidRPr="008167CD" w:rsidRDefault="21E13E53" w:rsidP="5EECCAC3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Investors who bought during these dips benefited from </w:t>
      </w:r>
      <w:r w:rsidRPr="008167CD">
        <w:rPr>
          <w:rFonts w:ascii="Times New Roman" w:hAnsi="Times New Roman" w:cs="Times New Roman"/>
          <w:b/>
          <w:bCs/>
        </w:rPr>
        <w:t>significant gains</w:t>
      </w:r>
      <w:r w:rsidRPr="008167CD">
        <w:rPr>
          <w:rFonts w:ascii="Times New Roman" w:hAnsi="Times New Roman" w:cs="Times New Roman"/>
        </w:rPr>
        <w:t xml:space="preserve"> in the following years.</w:t>
      </w:r>
    </w:p>
    <w:p w14:paraId="44282929" w14:textId="5EFA5372" w:rsidR="00AC3A21" w:rsidRPr="008167CD" w:rsidRDefault="21E13E53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  <w:b/>
          <w:bCs/>
        </w:rPr>
        <w:t>Sector-Based Performance</w:t>
      </w:r>
      <w:r w:rsidRPr="008167CD">
        <w:rPr>
          <w:rFonts w:ascii="Times New Roman" w:hAnsi="Times New Roman" w:cs="Times New Roman"/>
        </w:rPr>
        <w:t>:</w:t>
      </w:r>
    </w:p>
    <w:p w14:paraId="688EB475" w14:textId="7D5DEFA1" w:rsidR="00AC3A21" w:rsidRPr="008167CD" w:rsidRDefault="21E13E53" w:rsidP="5EECCAC3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Different stocks belong to different sectors.</w:t>
      </w:r>
    </w:p>
    <w:p w14:paraId="59329AB1" w14:textId="71070483" w:rsidR="00AC3A21" w:rsidRPr="008167CD" w:rsidRDefault="21E13E53" w:rsidP="5EECCAC3">
      <w:pPr>
        <w:pStyle w:val="ListParagraph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If a customer prefers </w:t>
      </w:r>
      <w:r w:rsidRPr="008167CD">
        <w:rPr>
          <w:rFonts w:ascii="Times New Roman" w:hAnsi="Times New Roman" w:cs="Times New Roman"/>
          <w:b/>
          <w:bCs/>
        </w:rPr>
        <w:t>low-risk investments</w:t>
      </w:r>
      <w:r w:rsidRPr="008167CD">
        <w:rPr>
          <w:rFonts w:ascii="Times New Roman" w:hAnsi="Times New Roman" w:cs="Times New Roman"/>
        </w:rPr>
        <w:t>, they should target sectors with steady upward trends.</w:t>
      </w:r>
    </w:p>
    <w:p w14:paraId="500D89F3" w14:textId="585A9A8D" w:rsidR="00AC3A21" w:rsidRPr="008167CD" w:rsidRDefault="3F1D7A70" w:rsidP="5EECCAC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  <w:b/>
          <w:bCs/>
        </w:rPr>
        <w:t>Profit/Loss Boundary (Dotted Line)</w:t>
      </w:r>
      <w:r w:rsidRPr="008167CD">
        <w:rPr>
          <w:rFonts w:ascii="Times New Roman" w:hAnsi="Times New Roman" w:cs="Times New Roman"/>
        </w:rPr>
        <w:t>:</w:t>
      </w:r>
    </w:p>
    <w:p w14:paraId="0D1C813A" w14:textId="4D91099A" w:rsidR="00AC3A21" w:rsidRPr="008167CD" w:rsidRDefault="3F1D7A70" w:rsidP="5EECCAC3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>It represents whether a stock is above or below its starting price.</w:t>
      </w:r>
    </w:p>
    <w:p w14:paraId="365ECCF2" w14:textId="5B7755B1" w:rsidR="00AC3A21" w:rsidRPr="008167CD" w:rsidRDefault="3F1D7A70" w:rsidP="5EECCAC3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hAnsi="Times New Roman" w:cs="Times New Roman"/>
        </w:rPr>
        <w:t xml:space="preserve">If a stock stays </w:t>
      </w:r>
      <w:r w:rsidRPr="008167CD">
        <w:rPr>
          <w:rFonts w:ascii="Times New Roman" w:hAnsi="Times New Roman" w:cs="Times New Roman"/>
          <w:b/>
          <w:bCs/>
        </w:rPr>
        <w:t>above the boundary for long periods</w:t>
      </w:r>
      <w:r w:rsidRPr="008167CD">
        <w:rPr>
          <w:rFonts w:ascii="Times New Roman" w:hAnsi="Times New Roman" w:cs="Times New Roman"/>
        </w:rPr>
        <w:t>, it indicates strong long-term performance.</w:t>
      </w:r>
    </w:p>
    <w:p w14:paraId="6799F8FC" w14:textId="1E62CA20" w:rsidR="00AC3A21" w:rsidRPr="008167CD" w:rsidRDefault="00AC3A21" w:rsidP="5EECCAC3">
      <w:pPr>
        <w:pStyle w:val="ListParagraph"/>
        <w:spacing w:after="0"/>
        <w:ind w:left="1080"/>
        <w:rPr>
          <w:rFonts w:ascii="Times New Roman" w:hAnsi="Times New Roman" w:cs="Times New Roman"/>
        </w:rPr>
      </w:pPr>
    </w:p>
    <w:p w14:paraId="005F341C" w14:textId="77777777" w:rsidR="007827A8" w:rsidRPr="008167CD" w:rsidRDefault="007827A8" w:rsidP="008167CD">
      <w:pPr>
        <w:spacing w:after="0"/>
        <w:rPr>
          <w:rFonts w:ascii="Times New Roman" w:hAnsi="Times New Roman" w:cs="Times New Roman"/>
        </w:rPr>
      </w:pPr>
    </w:p>
    <w:p w14:paraId="172E68B4" w14:textId="64C29DA3" w:rsidR="00AC3A21" w:rsidRPr="008167CD" w:rsidRDefault="3F1D7A70" w:rsidP="5EECCAC3">
      <w:pPr>
        <w:rPr>
          <w:rFonts w:ascii="Times New Roman" w:hAnsi="Times New Roman" w:cs="Times New Roman"/>
          <w:b/>
          <w:bCs/>
        </w:rPr>
      </w:pPr>
      <w:r w:rsidRPr="008167CD">
        <w:rPr>
          <w:rFonts w:ascii="Times New Roman" w:eastAsia="Aptos" w:hAnsi="Times New Roman" w:cs="Times New Roman"/>
          <w:b/>
          <w:bCs/>
        </w:rPr>
        <w:t>How This Helps Beginner Investors:</w:t>
      </w:r>
    </w:p>
    <w:p w14:paraId="0729F9FA" w14:textId="75500A56" w:rsidR="00AC3A21" w:rsidRPr="008167CD" w:rsidRDefault="7EA5C4BD" w:rsidP="5EECCAC3">
      <w:pPr>
        <w:rPr>
          <w:rFonts w:ascii="Times New Roman" w:eastAsia="Aptos" w:hAnsi="Times New Roman" w:cs="Times New Roman"/>
        </w:rPr>
      </w:pPr>
      <w:r w:rsidRPr="008167CD">
        <w:rPr>
          <w:rFonts w:ascii="Times New Roman" w:hAnsi="Times New Roman" w:cs="Times New Roman"/>
        </w:rPr>
        <w:t>Sector-Based Diversification to Reduce Risks:</w:t>
      </w:r>
    </w:p>
    <w:p w14:paraId="579CDC76" w14:textId="5913D047" w:rsidR="00AC3A21" w:rsidRPr="008167CD" w:rsidRDefault="7EA5C4BD" w:rsidP="5EECCAC3">
      <w:pPr>
        <w:pStyle w:val="ListParagraph"/>
        <w:numPr>
          <w:ilvl w:val="0"/>
          <w:numId w:val="2"/>
        </w:numPr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 xml:space="preserve">It means investing in </w:t>
      </w:r>
      <w:r w:rsidRPr="008167CD">
        <w:rPr>
          <w:rFonts w:ascii="Times New Roman" w:eastAsia="Aptos" w:hAnsi="Times New Roman" w:cs="Times New Roman"/>
          <w:b/>
          <w:bCs/>
        </w:rPr>
        <w:t>different industries</w:t>
      </w:r>
      <w:r w:rsidRPr="008167CD">
        <w:rPr>
          <w:rFonts w:ascii="Times New Roman" w:eastAsia="Aptos" w:hAnsi="Times New Roman" w:cs="Times New Roman"/>
        </w:rPr>
        <w:t xml:space="preserve"> rather than putting all money into a single sector (e.g., technology, healthcare, finance).</w:t>
      </w:r>
    </w:p>
    <w:p w14:paraId="030283E9" w14:textId="0C20DCCA" w:rsidR="00AC3A21" w:rsidRPr="008167CD" w:rsidRDefault="7EA5C4BD" w:rsidP="5EECCAC3">
      <w:pPr>
        <w:pStyle w:val="ListParagraph"/>
        <w:numPr>
          <w:ilvl w:val="0"/>
          <w:numId w:val="2"/>
        </w:numPr>
        <w:spacing w:after="0"/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 xml:space="preserve">Different sectors react </w:t>
      </w:r>
      <w:r w:rsidRPr="008167CD">
        <w:rPr>
          <w:rFonts w:ascii="Times New Roman" w:eastAsia="Aptos" w:hAnsi="Times New Roman" w:cs="Times New Roman"/>
          <w:b/>
          <w:bCs/>
        </w:rPr>
        <w:t>differently</w:t>
      </w:r>
      <w:r w:rsidRPr="008167CD">
        <w:rPr>
          <w:rFonts w:ascii="Times New Roman" w:eastAsia="Aptos" w:hAnsi="Times New Roman" w:cs="Times New Roman"/>
        </w:rPr>
        <w:t xml:space="preserve"> to economic changes, reducing overall investment risk.</w:t>
      </w:r>
    </w:p>
    <w:p w14:paraId="7F1B88A9" w14:textId="41343293" w:rsidR="00AC3A21" w:rsidRPr="008167CD" w:rsidRDefault="4633174C" w:rsidP="5EECCAC3">
      <w:pPr>
        <w:spacing w:after="0"/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>Why is it important for new investors:</w:t>
      </w:r>
    </w:p>
    <w:p w14:paraId="5B85B400" w14:textId="330B0275" w:rsidR="00AC3A21" w:rsidRPr="008167CD" w:rsidRDefault="4633174C" w:rsidP="5EECCAC3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 xml:space="preserve">If an investor </w:t>
      </w:r>
      <w:r w:rsidRPr="008167CD">
        <w:rPr>
          <w:rFonts w:ascii="Times New Roman" w:eastAsia="Aptos" w:hAnsi="Times New Roman" w:cs="Times New Roman"/>
          <w:b/>
          <w:bCs/>
        </w:rPr>
        <w:t>only buys</w:t>
      </w:r>
      <w:r w:rsidRPr="008167CD">
        <w:rPr>
          <w:rFonts w:ascii="Times New Roman" w:eastAsia="Aptos" w:hAnsi="Times New Roman" w:cs="Times New Roman"/>
        </w:rPr>
        <w:t xml:space="preserve"> stocks from one sector (e.g., banking), their portfolio is at high risk if that sector crashes.</w:t>
      </w:r>
    </w:p>
    <w:p w14:paraId="2F26B8AA" w14:textId="21E5ACCC" w:rsidR="00AC3A21" w:rsidRPr="008167CD" w:rsidRDefault="4633174C" w:rsidP="5EECCAC3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 xml:space="preserve">Diversifying across multiple sectors protects against </w:t>
      </w:r>
      <w:r w:rsidRPr="008167CD">
        <w:rPr>
          <w:rFonts w:ascii="Times New Roman" w:eastAsia="Aptos" w:hAnsi="Times New Roman" w:cs="Times New Roman"/>
          <w:b/>
          <w:bCs/>
        </w:rPr>
        <w:t>sector-specific downturns</w:t>
      </w:r>
      <w:r w:rsidRPr="008167CD">
        <w:rPr>
          <w:rFonts w:ascii="Times New Roman" w:eastAsia="Aptos" w:hAnsi="Times New Roman" w:cs="Times New Roman"/>
        </w:rPr>
        <w:t>.</w:t>
      </w:r>
    </w:p>
    <w:p w14:paraId="0DFDED59" w14:textId="4449DC9C" w:rsidR="00AC3A21" w:rsidRDefault="4633174C" w:rsidP="000B459C">
      <w:pPr>
        <w:pStyle w:val="ListParagraph"/>
        <w:numPr>
          <w:ilvl w:val="0"/>
          <w:numId w:val="12"/>
        </w:numPr>
        <w:spacing w:after="0"/>
        <w:rPr>
          <w:rFonts w:ascii="Times New Roman" w:eastAsia="Aptos" w:hAnsi="Times New Roman" w:cs="Times New Roman"/>
        </w:rPr>
      </w:pPr>
      <w:r w:rsidRPr="008167CD">
        <w:rPr>
          <w:rFonts w:ascii="Times New Roman" w:eastAsia="Aptos" w:hAnsi="Times New Roman" w:cs="Times New Roman"/>
        </w:rPr>
        <w:t>For example:</w:t>
      </w:r>
      <w:r w:rsidRPr="008167CD">
        <w:rPr>
          <w:rFonts w:ascii="Times New Roman" w:hAnsi="Times New Roman" w:cs="Times New Roman"/>
        </w:rPr>
        <w:br/>
      </w:r>
      <w:r w:rsidRPr="008167CD">
        <w:rPr>
          <w:rFonts w:ascii="Times New Roman" w:eastAsia="Aptos" w:hAnsi="Times New Roman" w:cs="Times New Roman"/>
        </w:rPr>
        <w:t>Financial Sector (BMO.TO, CM.TO, BNS.TO) → Affected by interest rates, economic cycles.</w:t>
      </w:r>
      <w:r w:rsidRPr="008167CD">
        <w:rPr>
          <w:rFonts w:ascii="Times New Roman" w:hAnsi="Times New Roman" w:cs="Times New Roman"/>
        </w:rPr>
        <w:br/>
      </w:r>
      <w:r w:rsidRPr="008167CD">
        <w:rPr>
          <w:rFonts w:ascii="Times New Roman" w:eastAsia="Aptos" w:hAnsi="Times New Roman" w:cs="Times New Roman"/>
        </w:rPr>
        <w:t>Energy Sector (CNQ.TO) → Influenced by oil prices, geopolitical events.</w:t>
      </w:r>
      <w:r w:rsidRPr="008167CD">
        <w:rPr>
          <w:rFonts w:ascii="Times New Roman" w:hAnsi="Times New Roman" w:cs="Times New Roman"/>
        </w:rPr>
        <w:br/>
      </w:r>
      <w:r w:rsidRPr="008167CD">
        <w:rPr>
          <w:rFonts w:ascii="Times New Roman" w:eastAsia="Aptos" w:hAnsi="Times New Roman" w:cs="Times New Roman"/>
        </w:rPr>
        <w:t>Industrial Sector (CNR.TO) → Depends on trade, infrastructure growth.</w:t>
      </w:r>
      <w:r w:rsidRPr="008167CD">
        <w:rPr>
          <w:rFonts w:ascii="Times New Roman" w:hAnsi="Times New Roman" w:cs="Times New Roman"/>
        </w:rPr>
        <w:br/>
      </w:r>
      <w:r w:rsidRPr="008167CD">
        <w:rPr>
          <w:rFonts w:ascii="Times New Roman" w:eastAsia="Aptos" w:hAnsi="Times New Roman" w:cs="Times New Roman"/>
        </w:rPr>
        <w:t>Gold &amp; Mining (ABX.TO) → Gains value in economic downturns (safe-haven investment).</w:t>
      </w:r>
    </w:p>
    <w:p w14:paraId="6C16C2AD" w14:textId="77777777" w:rsidR="008167CD" w:rsidRDefault="008167CD" w:rsidP="008167CD">
      <w:pPr>
        <w:spacing w:after="0"/>
        <w:rPr>
          <w:rFonts w:ascii="Times New Roman" w:eastAsia="Aptos" w:hAnsi="Times New Roman" w:cs="Times New Roman"/>
        </w:rPr>
      </w:pPr>
    </w:p>
    <w:p w14:paraId="34B84229" w14:textId="77777777" w:rsidR="008167CD" w:rsidRPr="008167CD" w:rsidRDefault="008167CD" w:rsidP="008167CD">
      <w:pPr>
        <w:spacing w:after="0"/>
        <w:rPr>
          <w:rFonts w:ascii="Times New Roman" w:eastAsia="Aptos" w:hAnsi="Times New Roman" w:cs="Times New Roman"/>
        </w:rPr>
      </w:pPr>
    </w:p>
    <w:p w14:paraId="1125B8A6" w14:textId="7FC5F2BF" w:rsidR="00AC3A21" w:rsidRPr="008167CD" w:rsidRDefault="2CFEDF17" w:rsidP="5EECCAC3">
      <w:pPr>
        <w:spacing w:after="0"/>
        <w:rPr>
          <w:rFonts w:ascii="Times New Roman" w:eastAsia="Aptos" w:hAnsi="Times New Roman" w:cs="Times New Roman"/>
          <w:b/>
          <w:bCs/>
        </w:rPr>
      </w:pPr>
      <w:r w:rsidRPr="008167CD">
        <w:rPr>
          <w:rFonts w:ascii="Times New Roman" w:eastAsia="Aptos" w:hAnsi="Times New Roman" w:cs="Times New Roman"/>
          <w:b/>
          <w:bCs/>
        </w:rPr>
        <w:lastRenderedPageBreak/>
        <w:t>How Can Beginners Use This?</w:t>
      </w:r>
    </w:p>
    <w:p w14:paraId="5E9135B1" w14:textId="556D8ED0" w:rsidR="00AC3A21" w:rsidRPr="008167CD" w:rsidRDefault="2CFEDF17" w:rsidP="5EECCAC3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eastAsia="Aptos" w:hAnsi="Times New Roman" w:cs="Times New Roman"/>
        </w:rPr>
        <w:t>Scenario 1: If the economy slows down, banks (BMO.TO, CM.TO) might struggle, but gold (ABX.TO) could rise.</w:t>
      </w:r>
      <w:r w:rsidRPr="008167CD">
        <w:rPr>
          <w:rFonts w:ascii="Times New Roman" w:hAnsi="Times New Roman" w:cs="Times New Roman"/>
        </w:rPr>
        <w:br/>
      </w:r>
      <w:r w:rsidRPr="008167CD">
        <w:rPr>
          <w:rFonts w:ascii="Times New Roman" w:eastAsia="Aptos" w:hAnsi="Times New Roman" w:cs="Times New Roman"/>
        </w:rPr>
        <w:t>Scenario 2: If oil prices surge, energy stocks (CNQ.TO) will benefit, while transport (CNR.TO) may suffer due to higher costs.</w:t>
      </w:r>
    </w:p>
    <w:p w14:paraId="114ECE7E" w14:textId="45B48533" w:rsidR="00AC3A21" w:rsidRPr="008167CD" w:rsidRDefault="2CFEDF17" w:rsidP="5EECCAC3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8167CD">
        <w:rPr>
          <w:rFonts w:ascii="Times New Roman" w:eastAsia="Aptos" w:hAnsi="Times New Roman" w:cs="Times New Roman"/>
        </w:rPr>
        <w:t>By investing across multiple sectors, losses in one area are balanced by gains in another.</w:t>
      </w:r>
    </w:p>
    <w:bookmarkEnd w:id="0"/>
    <w:p w14:paraId="60B20D4F" w14:textId="271F0C6E" w:rsidR="00AC3A21" w:rsidRPr="008167CD" w:rsidRDefault="00AC3A21" w:rsidP="5EECCAC3">
      <w:pPr>
        <w:spacing w:after="0"/>
        <w:rPr>
          <w:rFonts w:ascii="Times New Roman" w:eastAsia="Aptos" w:hAnsi="Times New Roman" w:cs="Times New Roman"/>
        </w:rPr>
      </w:pPr>
    </w:p>
    <w:sectPr w:rsidR="00AC3A21" w:rsidRPr="008167C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4DB"/>
    <w:multiLevelType w:val="hybridMultilevel"/>
    <w:tmpl w:val="E3584C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D842C"/>
    <w:multiLevelType w:val="hybridMultilevel"/>
    <w:tmpl w:val="DEC029AE"/>
    <w:lvl w:ilvl="0" w:tplc="4A0AEA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A8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C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881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A6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A634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005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DC7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4A6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BFC4A"/>
    <w:multiLevelType w:val="hybridMultilevel"/>
    <w:tmpl w:val="759AFB08"/>
    <w:lvl w:ilvl="0" w:tplc="2CA86E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836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6A72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620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96D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2CF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FEE0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89E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CE8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7FB3CF"/>
    <w:multiLevelType w:val="hybridMultilevel"/>
    <w:tmpl w:val="804EAF6E"/>
    <w:lvl w:ilvl="0" w:tplc="8B687F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2415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2AE8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7ABE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C47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1EA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6C2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F237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AE0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B9F9A2"/>
    <w:multiLevelType w:val="hybridMultilevel"/>
    <w:tmpl w:val="1108C35E"/>
    <w:lvl w:ilvl="0" w:tplc="81B8FB0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8CF5A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31660A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1AEBE7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150250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D3A16A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3A88D3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114323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C14461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52DA71"/>
    <w:multiLevelType w:val="hybridMultilevel"/>
    <w:tmpl w:val="12386AB0"/>
    <w:lvl w:ilvl="0" w:tplc="63D8E0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9328C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774451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F961C1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DD2A8B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F8A410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44068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C5A75E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F92C08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0A8456"/>
    <w:multiLevelType w:val="hybridMultilevel"/>
    <w:tmpl w:val="642C70A6"/>
    <w:lvl w:ilvl="0" w:tplc="21808E12">
      <w:start w:val="1"/>
      <w:numFmt w:val="decimal"/>
      <w:lvlText w:val="%1."/>
      <w:lvlJc w:val="left"/>
      <w:pPr>
        <w:ind w:left="720" w:hanging="360"/>
      </w:pPr>
    </w:lvl>
    <w:lvl w:ilvl="1" w:tplc="DF125B20">
      <w:start w:val="1"/>
      <w:numFmt w:val="lowerLetter"/>
      <w:lvlText w:val="%2."/>
      <w:lvlJc w:val="left"/>
      <w:pPr>
        <w:ind w:left="1440" w:hanging="360"/>
      </w:pPr>
    </w:lvl>
    <w:lvl w:ilvl="2" w:tplc="42309522">
      <w:start w:val="1"/>
      <w:numFmt w:val="lowerRoman"/>
      <w:lvlText w:val="%3."/>
      <w:lvlJc w:val="right"/>
      <w:pPr>
        <w:ind w:left="2160" w:hanging="180"/>
      </w:pPr>
    </w:lvl>
    <w:lvl w:ilvl="3" w:tplc="C9A6A090">
      <w:start w:val="1"/>
      <w:numFmt w:val="decimal"/>
      <w:lvlText w:val="%4."/>
      <w:lvlJc w:val="left"/>
      <w:pPr>
        <w:ind w:left="2880" w:hanging="360"/>
      </w:pPr>
    </w:lvl>
    <w:lvl w:ilvl="4" w:tplc="2410EF56">
      <w:start w:val="1"/>
      <w:numFmt w:val="lowerLetter"/>
      <w:lvlText w:val="%5."/>
      <w:lvlJc w:val="left"/>
      <w:pPr>
        <w:ind w:left="3600" w:hanging="360"/>
      </w:pPr>
    </w:lvl>
    <w:lvl w:ilvl="5" w:tplc="64880A84">
      <w:start w:val="1"/>
      <w:numFmt w:val="lowerRoman"/>
      <w:lvlText w:val="%6."/>
      <w:lvlJc w:val="right"/>
      <w:pPr>
        <w:ind w:left="4320" w:hanging="180"/>
      </w:pPr>
    </w:lvl>
    <w:lvl w:ilvl="6" w:tplc="C2DAB008">
      <w:start w:val="1"/>
      <w:numFmt w:val="decimal"/>
      <w:lvlText w:val="%7."/>
      <w:lvlJc w:val="left"/>
      <w:pPr>
        <w:ind w:left="5040" w:hanging="360"/>
      </w:pPr>
    </w:lvl>
    <w:lvl w:ilvl="7" w:tplc="CBF63C76">
      <w:start w:val="1"/>
      <w:numFmt w:val="lowerLetter"/>
      <w:lvlText w:val="%8."/>
      <w:lvlJc w:val="left"/>
      <w:pPr>
        <w:ind w:left="5760" w:hanging="360"/>
      </w:pPr>
    </w:lvl>
    <w:lvl w:ilvl="8" w:tplc="022A5E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98A58B"/>
    <w:multiLevelType w:val="hybridMultilevel"/>
    <w:tmpl w:val="58DC697E"/>
    <w:lvl w:ilvl="0" w:tplc="73BC543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4F23DC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B7039B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F4E57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37A256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65CE30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CFE81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42A071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7EA12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CE40BA"/>
    <w:multiLevelType w:val="hybridMultilevel"/>
    <w:tmpl w:val="B70E1114"/>
    <w:lvl w:ilvl="0" w:tplc="E18AEEB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174447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3FAECD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8A6046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F705C7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50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73CEB2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0C4C1E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AF2F67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78CD3F"/>
    <w:multiLevelType w:val="hybridMultilevel"/>
    <w:tmpl w:val="20EC69CE"/>
    <w:lvl w:ilvl="0" w:tplc="5AFA942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6781F7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368C08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ADC80E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3E62E2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50A7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28E65A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602DE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388C45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25013C"/>
    <w:multiLevelType w:val="hybridMultilevel"/>
    <w:tmpl w:val="190C6592"/>
    <w:lvl w:ilvl="0" w:tplc="E18AEE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13F500"/>
    <w:multiLevelType w:val="hybridMultilevel"/>
    <w:tmpl w:val="19C894FC"/>
    <w:lvl w:ilvl="0" w:tplc="2EE2D9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8A92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950AC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464EBF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32BE0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F9828E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2D4FDD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E1CE23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C02A8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1A72DE"/>
    <w:multiLevelType w:val="multilevel"/>
    <w:tmpl w:val="D9BA35F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853021"/>
    <w:multiLevelType w:val="hybridMultilevel"/>
    <w:tmpl w:val="F566EAC2"/>
    <w:lvl w:ilvl="0" w:tplc="E18AEE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84FD024"/>
    <w:multiLevelType w:val="hybridMultilevel"/>
    <w:tmpl w:val="1952CC2C"/>
    <w:lvl w:ilvl="0" w:tplc="545CC3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2CE026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C1A533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3C040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65C4AF5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C40B24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DEE69A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3824C1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C3AC06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313D6E"/>
    <w:multiLevelType w:val="hybridMultilevel"/>
    <w:tmpl w:val="ACA254FE"/>
    <w:lvl w:ilvl="0" w:tplc="F27E7F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A49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3643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9C5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F638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147C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D085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4236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E4D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B737FB"/>
    <w:multiLevelType w:val="hybridMultilevel"/>
    <w:tmpl w:val="4DDEA348"/>
    <w:lvl w:ilvl="0" w:tplc="A642B780">
      <w:start w:val="1"/>
      <w:numFmt w:val="decimal"/>
      <w:lvlText w:val="%1."/>
      <w:lvlJc w:val="left"/>
      <w:pPr>
        <w:ind w:left="720" w:hanging="360"/>
      </w:pPr>
    </w:lvl>
    <w:lvl w:ilvl="1" w:tplc="237A4808">
      <w:start w:val="1"/>
      <w:numFmt w:val="lowerLetter"/>
      <w:lvlText w:val="%2."/>
      <w:lvlJc w:val="left"/>
      <w:pPr>
        <w:ind w:left="1440" w:hanging="360"/>
      </w:pPr>
    </w:lvl>
    <w:lvl w:ilvl="2" w:tplc="B720BAD2">
      <w:start w:val="1"/>
      <w:numFmt w:val="lowerRoman"/>
      <w:lvlText w:val="%3."/>
      <w:lvlJc w:val="right"/>
      <w:pPr>
        <w:ind w:left="2160" w:hanging="180"/>
      </w:pPr>
    </w:lvl>
    <w:lvl w:ilvl="3" w:tplc="B9F8D1F4">
      <w:start w:val="1"/>
      <w:numFmt w:val="decimal"/>
      <w:lvlText w:val="%4."/>
      <w:lvlJc w:val="left"/>
      <w:pPr>
        <w:ind w:left="2880" w:hanging="360"/>
      </w:pPr>
    </w:lvl>
    <w:lvl w:ilvl="4" w:tplc="2B2EF23A">
      <w:start w:val="1"/>
      <w:numFmt w:val="lowerLetter"/>
      <w:lvlText w:val="%5."/>
      <w:lvlJc w:val="left"/>
      <w:pPr>
        <w:ind w:left="3600" w:hanging="360"/>
      </w:pPr>
    </w:lvl>
    <w:lvl w:ilvl="5" w:tplc="37005A24">
      <w:start w:val="1"/>
      <w:numFmt w:val="lowerRoman"/>
      <w:lvlText w:val="%6."/>
      <w:lvlJc w:val="right"/>
      <w:pPr>
        <w:ind w:left="4320" w:hanging="180"/>
      </w:pPr>
    </w:lvl>
    <w:lvl w:ilvl="6" w:tplc="8BDA9DA2">
      <w:start w:val="1"/>
      <w:numFmt w:val="decimal"/>
      <w:lvlText w:val="%7."/>
      <w:lvlJc w:val="left"/>
      <w:pPr>
        <w:ind w:left="5040" w:hanging="360"/>
      </w:pPr>
    </w:lvl>
    <w:lvl w:ilvl="7" w:tplc="DFFA39E4">
      <w:start w:val="1"/>
      <w:numFmt w:val="lowerLetter"/>
      <w:lvlText w:val="%8."/>
      <w:lvlJc w:val="left"/>
      <w:pPr>
        <w:ind w:left="5760" w:hanging="360"/>
      </w:pPr>
    </w:lvl>
    <w:lvl w:ilvl="8" w:tplc="3B88284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E2009"/>
    <w:multiLevelType w:val="hybridMultilevel"/>
    <w:tmpl w:val="8318A60E"/>
    <w:lvl w:ilvl="0" w:tplc="E18AEE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3D4900"/>
    <w:multiLevelType w:val="multilevel"/>
    <w:tmpl w:val="9BDE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01531D"/>
    <w:multiLevelType w:val="hybridMultilevel"/>
    <w:tmpl w:val="21423C9E"/>
    <w:lvl w:ilvl="0" w:tplc="E9B8E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B897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286E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8627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0630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54D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4E3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C6B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229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1F3ECD"/>
    <w:multiLevelType w:val="multilevel"/>
    <w:tmpl w:val="07583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7678461">
    <w:abstractNumId w:val="7"/>
  </w:num>
  <w:num w:numId="2" w16cid:durableId="824008468">
    <w:abstractNumId w:val="9"/>
  </w:num>
  <w:num w:numId="3" w16cid:durableId="1931307178">
    <w:abstractNumId w:val="6"/>
  </w:num>
  <w:num w:numId="4" w16cid:durableId="1362633660">
    <w:abstractNumId w:val="11"/>
  </w:num>
  <w:num w:numId="5" w16cid:durableId="169100150">
    <w:abstractNumId w:val="2"/>
  </w:num>
  <w:num w:numId="6" w16cid:durableId="616062221">
    <w:abstractNumId w:val="5"/>
  </w:num>
  <w:num w:numId="7" w16cid:durableId="684213741">
    <w:abstractNumId w:val="19"/>
  </w:num>
  <w:num w:numId="8" w16cid:durableId="1520894907">
    <w:abstractNumId w:val="4"/>
  </w:num>
  <w:num w:numId="9" w16cid:durableId="434790034">
    <w:abstractNumId w:val="3"/>
  </w:num>
  <w:num w:numId="10" w16cid:durableId="847988491">
    <w:abstractNumId w:val="14"/>
  </w:num>
  <w:num w:numId="11" w16cid:durableId="170489075">
    <w:abstractNumId w:val="15"/>
  </w:num>
  <w:num w:numId="12" w16cid:durableId="619268041">
    <w:abstractNumId w:val="8"/>
  </w:num>
  <w:num w:numId="13" w16cid:durableId="577330393">
    <w:abstractNumId w:val="1"/>
  </w:num>
  <w:num w:numId="14" w16cid:durableId="1761296546">
    <w:abstractNumId w:val="16"/>
  </w:num>
  <w:num w:numId="15" w16cid:durableId="2082435873">
    <w:abstractNumId w:val="12"/>
  </w:num>
  <w:num w:numId="16" w16cid:durableId="2026901914">
    <w:abstractNumId w:val="0"/>
  </w:num>
  <w:num w:numId="17" w16cid:durableId="1076901620">
    <w:abstractNumId w:val="17"/>
  </w:num>
  <w:num w:numId="18" w16cid:durableId="1543178128">
    <w:abstractNumId w:val="10"/>
  </w:num>
  <w:num w:numId="19" w16cid:durableId="1255943115">
    <w:abstractNumId w:val="13"/>
  </w:num>
  <w:num w:numId="20" w16cid:durableId="1389762330">
    <w:abstractNumId w:val="18"/>
  </w:num>
  <w:num w:numId="21" w16cid:durableId="20421218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0C23BD"/>
    <w:rsid w:val="0000613A"/>
    <w:rsid w:val="00092E12"/>
    <w:rsid w:val="000B459C"/>
    <w:rsid w:val="00213EDF"/>
    <w:rsid w:val="00355EFD"/>
    <w:rsid w:val="003A3A9D"/>
    <w:rsid w:val="0054504F"/>
    <w:rsid w:val="005D1057"/>
    <w:rsid w:val="00635EE4"/>
    <w:rsid w:val="006E0604"/>
    <w:rsid w:val="006E0D79"/>
    <w:rsid w:val="006F351C"/>
    <w:rsid w:val="0076493F"/>
    <w:rsid w:val="007827A8"/>
    <w:rsid w:val="008167CD"/>
    <w:rsid w:val="008C1A94"/>
    <w:rsid w:val="00A75DBD"/>
    <w:rsid w:val="00A92E00"/>
    <w:rsid w:val="00AC3A21"/>
    <w:rsid w:val="00AF6A82"/>
    <w:rsid w:val="00B61229"/>
    <w:rsid w:val="00BE587C"/>
    <w:rsid w:val="00D01B88"/>
    <w:rsid w:val="00D2653C"/>
    <w:rsid w:val="00D75711"/>
    <w:rsid w:val="00DB2499"/>
    <w:rsid w:val="00FF7A77"/>
    <w:rsid w:val="02F131CA"/>
    <w:rsid w:val="030EF110"/>
    <w:rsid w:val="0525B24F"/>
    <w:rsid w:val="093EAA0B"/>
    <w:rsid w:val="0B1B3962"/>
    <w:rsid w:val="0D60A6E9"/>
    <w:rsid w:val="0ED2FFCC"/>
    <w:rsid w:val="0F7595D1"/>
    <w:rsid w:val="1212109D"/>
    <w:rsid w:val="14381A4C"/>
    <w:rsid w:val="1742CA2C"/>
    <w:rsid w:val="1A6F4AD8"/>
    <w:rsid w:val="1B331FB4"/>
    <w:rsid w:val="1D0C23BD"/>
    <w:rsid w:val="1E8B04C4"/>
    <w:rsid w:val="21A49710"/>
    <w:rsid w:val="21E13E53"/>
    <w:rsid w:val="24A9E5CB"/>
    <w:rsid w:val="255ABDB6"/>
    <w:rsid w:val="292FEC88"/>
    <w:rsid w:val="2CFEDF17"/>
    <w:rsid w:val="310FA2CC"/>
    <w:rsid w:val="32105C3F"/>
    <w:rsid w:val="333F5122"/>
    <w:rsid w:val="3527669C"/>
    <w:rsid w:val="352BF591"/>
    <w:rsid w:val="3751E3DE"/>
    <w:rsid w:val="37875A34"/>
    <w:rsid w:val="3B8C36BC"/>
    <w:rsid w:val="3F1D7A70"/>
    <w:rsid w:val="4147C82F"/>
    <w:rsid w:val="45727905"/>
    <w:rsid w:val="459B1D2B"/>
    <w:rsid w:val="4633174C"/>
    <w:rsid w:val="467588AF"/>
    <w:rsid w:val="4A0C85CF"/>
    <w:rsid w:val="4DEDFA8D"/>
    <w:rsid w:val="4E003046"/>
    <w:rsid w:val="54C3E1E2"/>
    <w:rsid w:val="54C44BB9"/>
    <w:rsid w:val="55AC7B55"/>
    <w:rsid w:val="55F3DCA2"/>
    <w:rsid w:val="5828AAC8"/>
    <w:rsid w:val="5D8881EE"/>
    <w:rsid w:val="5EECCAC3"/>
    <w:rsid w:val="6129C694"/>
    <w:rsid w:val="65286C4C"/>
    <w:rsid w:val="6858D5DC"/>
    <w:rsid w:val="6B38B000"/>
    <w:rsid w:val="6D9F546E"/>
    <w:rsid w:val="6DC2AC4B"/>
    <w:rsid w:val="6DFFFDB5"/>
    <w:rsid w:val="6E5533BC"/>
    <w:rsid w:val="6FCAB279"/>
    <w:rsid w:val="71266AE9"/>
    <w:rsid w:val="720EA017"/>
    <w:rsid w:val="73AF6A6F"/>
    <w:rsid w:val="74CE6ECB"/>
    <w:rsid w:val="75F2BB01"/>
    <w:rsid w:val="78BB9232"/>
    <w:rsid w:val="7CD3AEB0"/>
    <w:rsid w:val="7E455D19"/>
    <w:rsid w:val="7E7CD5CA"/>
    <w:rsid w:val="7EA5C4BD"/>
    <w:rsid w:val="7ECFA500"/>
    <w:rsid w:val="7FE6BFC9"/>
    <w:rsid w:val="7FFE4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C23BD"/>
  <w15:chartTrackingRefBased/>
  <w15:docId w15:val="{C924C935-857B-4557-99BC-DE26D1751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5EECCAC3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53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91493-85F5-4481-9304-B6BA50756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Chathananickal Sajeevan</dc:creator>
  <cp:keywords/>
  <dc:description/>
  <cp:lastModifiedBy>Jobina Joy</cp:lastModifiedBy>
  <cp:revision>2</cp:revision>
  <dcterms:created xsi:type="dcterms:W3CDTF">2025-01-28T01:37:00Z</dcterms:created>
  <dcterms:modified xsi:type="dcterms:W3CDTF">2025-01-28T01:37:00Z</dcterms:modified>
</cp:coreProperties>
</file>