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F05A7" w14:textId="77777777" w:rsidR="00ED061C" w:rsidRPr="003C6A2D" w:rsidRDefault="00ED061C" w:rsidP="003C6A2D">
      <w:pPr>
        <w:spacing w:before="100" w:beforeAutospacing="1" w:after="100" w:afterAutospacing="1" w:line="240" w:lineRule="auto"/>
        <w:jc w:val="center"/>
        <w:rPr>
          <w:rFonts w:ascii="Times New Roman" w:eastAsia="Times New Roman" w:hAnsi="Times New Roman" w:cs="Times New Roman"/>
          <w:kern w:val="0"/>
          <w:sz w:val="28"/>
          <w:szCs w:val="28"/>
          <w:u w:val="single"/>
          <w:lang w:eastAsia="en-GB"/>
          <w14:ligatures w14:val="none"/>
        </w:rPr>
      </w:pPr>
      <w:r w:rsidRPr="003C6A2D">
        <w:rPr>
          <w:rFonts w:ascii="Times New Roman" w:eastAsia="Times New Roman" w:hAnsi="Times New Roman" w:cs="Times New Roman"/>
          <w:b/>
          <w:bCs/>
          <w:kern w:val="0"/>
          <w:sz w:val="28"/>
          <w:szCs w:val="28"/>
          <w:u w:val="single"/>
          <w:lang w:eastAsia="en-GB"/>
          <w14:ligatures w14:val="none"/>
        </w:rPr>
        <w:t xml:space="preserve">Significance of Technical Indicators in Portfolio Allocation Using </w:t>
      </w:r>
      <w:proofErr w:type="spellStart"/>
      <w:r w:rsidRPr="003C6A2D">
        <w:rPr>
          <w:rFonts w:ascii="Times New Roman" w:eastAsia="Times New Roman" w:hAnsi="Times New Roman" w:cs="Times New Roman"/>
          <w:b/>
          <w:bCs/>
          <w:kern w:val="0"/>
          <w:sz w:val="28"/>
          <w:szCs w:val="28"/>
          <w:u w:val="single"/>
          <w:lang w:eastAsia="en-GB"/>
          <w14:ligatures w14:val="none"/>
        </w:rPr>
        <w:t>FinRL</w:t>
      </w:r>
      <w:proofErr w:type="spellEnd"/>
    </w:p>
    <w:p w14:paraId="0D08CB96" w14:textId="77777777" w:rsidR="00ED061C" w:rsidRPr="003C6A2D" w:rsidRDefault="00ED061C" w:rsidP="00ED061C">
      <w:pPr>
        <w:spacing w:before="100" w:beforeAutospacing="1" w:after="100" w:afterAutospacing="1" w:line="240" w:lineRule="auto"/>
        <w:outlineLvl w:val="2"/>
        <w:rPr>
          <w:rFonts w:ascii="Times New Roman" w:eastAsia="Times New Roman" w:hAnsi="Times New Roman" w:cs="Times New Roman"/>
          <w:b/>
          <w:bCs/>
          <w:kern w:val="0"/>
          <w:sz w:val="28"/>
          <w:szCs w:val="28"/>
          <w:lang w:eastAsia="en-GB"/>
          <w14:ligatures w14:val="none"/>
        </w:rPr>
      </w:pPr>
      <w:r w:rsidRPr="003C6A2D">
        <w:rPr>
          <w:rFonts w:ascii="Times New Roman" w:eastAsia="Times New Roman" w:hAnsi="Times New Roman" w:cs="Times New Roman"/>
          <w:b/>
          <w:bCs/>
          <w:kern w:val="0"/>
          <w:sz w:val="28"/>
          <w:szCs w:val="28"/>
          <w:lang w:eastAsia="en-GB"/>
          <w14:ligatures w14:val="none"/>
        </w:rPr>
        <w:t>1. Introduction</w:t>
      </w:r>
    </w:p>
    <w:p w14:paraId="2576ECF8" w14:textId="77777777" w:rsidR="00ED061C" w:rsidRPr="00ED061C" w:rsidRDefault="00ED061C" w:rsidP="00ED061C">
      <w:pPr>
        <w:spacing w:before="100" w:beforeAutospacing="1" w:after="100" w:afterAutospacing="1" w:line="240" w:lineRule="auto"/>
        <w:rPr>
          <w:rFonts w:ascii="Times New Roman" w:eastAsia="Times New Roman" w:hAnsi="Times New Roman" w:cs="Times New Roman"/>
          <w:kern w:val="0"/>
          <w:lang w:eastAsia="en-GB"/>
          <w14:ligatures w14:val="none"/>
        </w:rPr>
      </w:pPr>
      <w:r w:rsidRPr="00ED061C">
        <w:rPr>
          <w:rFonts w:ascii="Times New Roman" w:eastAsia="Times New Roman" w:hAnsi="Times New Roman" w:cs="Times New Roman"/>
          <w:kern w:val="0"/>
          <w:lang w:eastAsia="en-GB"/>
          <w14:ligatures w14:val="none"/>
        </w:rPr>
        <w:t>In the field of financial reinforcement learning (</w:t>
      </w:r>
      <w:proofErr w:type="spellStart"/>
      <w:r w:rsidRPr="00ED061C">
        <w:rPr>
          <w:rFonts w:ascii="Times New Roman" w:eastAsia="Times New Roman" w:hAnsi="Times New Roman" w:cs="Times New Roman"/>
          <w:kern w:val="0"/>
          <w:lang w:eastAsia="en-GB"/>
          <w14:ligatures w14:val="none"/>
        </w:rPr>
        <w:t>FinRL</w:t>
      </w:r>
      <w:proofErr w:type="spellEnd"/>
      <w:r w:rsidRPr="00ED061C">
        <w:rPr>
          <w:rFonts w:ascii="Times New Roman" w:eastAsia="Times New Roman" w:hAnsi="Times New Roman" w:cs="Times New Roman"/>
          <w:kern w:val="0"/>
          <w:lang w:eastAsia="en-GB"/>
          <w14:ligatures w14:val="none"/>
        </w:rPr>
        <w:t>), portfolio allocation is a crucial aspect of maximizing returns while minimizing risk. Technical indicators play a significant role in aiding reinforcement learning (RL) agents by providing structured, data-driven signals. These indicators help in identifying market trends, momentum, volatility, and price movements, enabling the agent to make informed investment decisions.</w:t>
      </w:r>
    </w:p>
    <w:p w14:paraId="5E6DB7C4" w14:textId="77777777" w:rsidR="00ED061C" w:rsidRPr="003C6A2D" w:rsidRDefault="00ED061C" w:rsidP="00ED061C">
      <w:pPr>
        <w:spacing w:before="100" w:beforeAutospacing="1" w:after="100" w:afterAutospacing="1" w:line="240" w:lineRule="auto"/>
        <w:outlineLvl w:val="2"/>
        <w:rPr>
          <w:rFonts w:ascii="Times New Roman" w:eastAsia="Times New Roman" w:hAnsi="Times New Roman" w:cs="Times New Roman"/>
          <w:b/>
          <w:bCs/>
          <w:kern w:val="0"/>
          <w:sz w:val="28"/>
          <w:szCs w:val="28"/>
          <w:lang w:eastAsia="en-GB"/>
          <w14:ligatures w14:val="none"/>
        </w:rPr>
      </w:pPr>
      <w:r w:rsidRPr="003C6A2D">
        <w:rPr>
          <w:rFonts w:ascii="Times New Roman" w:eastAsia="Times New Roman" w:hAnsi="Times New Roman" w:cs="Times New Roman"/>
          <w:b/>
          <w:bCs/>
          <w:kern w:val="0"/>
          <w:sz w:val="28"/>
          <w:szCs w:val="28"/>
          <w:lang w:eastAsia="en-GB"/>
          <w14:ligatures w14:val="none"/>
        </w:rPr>
        <w:t>2. Why Are Technical Indicators Important in Portfolio Allocation?</w:t>
      </w:r>
    </w:p>
    <w:p w14:paraId="322FB398" w14:textId="77777777" w:rsidR="00ED061C" w:rsidRPr="003C6A2D" w:rsidRDefault="00ED061C" w:rsidP="003C6A2D">
      <w:pPr>
        <w:spacing w:before="100" w:beforeAutospacing="1" w:after="100" w:afterAutospacing="1" w:line="240" w:lineRule="auto"/>
        <w:ind w:left="360"/>
        <w:outlineLvl w:val="3"/>
        <w:rPr>
          <w:rFonts w:ascii="Times New Roman" w:eastAsia="Times New Roman" w:hAnsi="Times New Roman" w:cs="Times New Roman"/>
          <w:b/>
          <w:bCs/>
          <w:i/>
          <w:iCs/>
          <w:kern w:val="0"/>
          <w:lang w:eastAsia="en-GB"/>
          <w14:ligatures w14:val="none"/>
        </w:rPr>
      </w:pPr>
      <w:r w:rsidRPr="003C6A2D">
        <w:rPr>
          <w:rFonts w:ascii="Times New Roman" w:eastAsia="Times New Roman" w:hAnsi="Times New Roman" w:cs="Times New Roman"/>
          <w:b/>
          <w:bCs/>
          <w:i/>
          <w:iCs/>
          <w:kern w:val="0"/>
          <w:lang w:eastAsia="en-GB"/>
          <w14:ligatures w14:val="none"/>
        </w:rPr>
        <w:t>2.1 Enhancing Decision-Making in Reinforcement Learning</w:t>
      </w:r>
    </w:p>
    <w:p w14:paraId="6B099C71" w14:textId="77777777" w:rsidR="00ED061C" w:rsidRPr="00ED061C" w:rsidRDefault="00ED061C" w:rsidP="00ED061C">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61C">
        <w:rPr>
          <w:rFonts w:ascii="Times New Roman" w:eastAsia="Times New Roman" w:hAnsi="Times New Roman" w:cs="Times New Roman"/>
          <w:kern w:val="0"/>
          <w:lang w:eastAsia="en-GB"/>
          <w14:ligatures w14:val="none"/>
        </w:rPr>
        <w:t>RL agents learn from historical data to optimize future trades.</w:t>
      </w:r>
    </w:p>
    <w:p w14:paraId="6AC38D2A" w14:textId="77777777" w:rsidR="00ED061C" w:rsidRPr="00ED061C" w:rsidRDefault="00ED061C" w:rsidP="00ED061C">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61C">
        <w:rPr>
          <w:rFonts w:ascii="Times New Roman" w:eastAsia="Times New Roman" w:hAnsi="Times New Roman" w:cs="Times New Roman"/>
          <w:kern w:val="0"/>
          <w:lang w:eastAsia="en-GB"/>
          <w14:ligatures w14:val="none"/>
        </w:rPr>
        <w:t>Technical indicators provide structured signals to help the model make decisions on asset allocation—whether to buy, sell, or hold.</w:t>
      </w:r>
    </w:p>
    <w:p w14:paraId="6B0B76AC" w14:textId="77777777" w:rsidR="00ED061C" w:rsidRPr="003C6A2D" w:rsidRDefault="00ED061C" w:rsidP="003C6A2D">
      <w:pPr>
        <w:spacing w:before="100" w:beforeAutospacing="1" w:after="100" w:afterAutospacing="1" w:line="240" w:lineRule="auto"/>
        <w:ind w:left="360"/>
        <w:outlineLvl w:val="3"/>
        <w:rPr>
          <w:rFonts w:ascii="Times New Roman" w:eastAsia="Times New Roman" w:hAnsi="Times New Roman" w:cs="Times New Roman"/>
          <w:b/>
          <w:bCs/>
          <w:i/>
          <w:iCs/>
          <w:kern w:val="0"/>
          <w:lang w:eastAsia="en-GB"/>
          <w14:ligatures w14:val="none"/>
        </w:rPr>
      </w:pPr>
      <w:r w:rsidRPr="003C6A2D">
        <w:rPr>
          <w:rFonts w:ascii="Times New Roman" w:eastAsia="Times New Roman" w:hAnsi="Times New Roman" w:cs="Times New Roman"/>
          <w:b/>
          <w:bCs/>
          <w:i/>
          <w:iCs/>
          <w:kern w:val="0"/>
          <w:lang w:eastAsia="en-GB"/>
          <w14:ligatures w14:val="none"/>
        </w:rPr>
        <w:t>2.2 Identifying Market Trends for Smart Allocation</w:t>
      </w:r>
    </w:p>
    <w:p w14:paraId="31D48C56" w14:textId="77777777" w:rsidR="00ED061C" w:rsidRPr="00ED061C" w:rsidRDefault="00ED061C" w:rsidP="00ED061C">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61C">
        <w:rPr>
          <w:rFonts w:ascii="Times New Roman" w:eastAsia="Times New Roman" w:hAnsi="Times New Roman" w:cs="Times New Roman"/>
          <w:kern w:val="0"/>
          <w:lang w:eastAsia="en-GB"/>
          <w14:ligatures w14:val="none"/>
        </w:rPr>
        <w:t xml:space="preserve">Indicators like </w:t>
      </w:r>
      <w:r w:rsidRPr="00ED061C">
        <w:rPr>
          <w:rFonts w:ascii="Times New Roman" w:eastAsia="Times New Roman" w:hAnsi="Times New Roman" w:cs="Times New Roman"/>
          <w:b/>
          <w:bCs/>
          <w:kern w:val="0"/>
          <w:lang w:eastAsia="en-GB"/>
          <w14:ligatures w14:val="none"/>
        </w:rPr>
        <w:t>MACD, Bollinger Upper Band (</w:t>
      </w:r>
      <w:proofErr w:type="spellStart"/>
      <w:r w:rsidRPr="00ED061C">
        <w:rPr>
          <w:rFonts w:ascii="Times New Roman" w:eastAsia="Times New Roman" w:hAnsi="Times New Roman" w:cs="Times New Roman"/>
          <w:b/>
          <w:bCs/>
          <w:kern w:val="0"/>
          <w:lang w:eastAsia="en-GB"/>
          <w14:ligatures w14:val="none"/>
        </w:rPr>
        <w:t>boll_ub</w:t>
      </w:r>
      <w:proofErr w:type="spellEnd"/>
      <w:r w:rsidRPr="00ED061C">
        <w:rPr>
          <w:rFonts w:ascii="Times New Roman" w:eastAsia="Times New Roman" w:hAnsi="Times New Roman" w:cs="Times New Roman"/>
          <w:b/>
          <w:bCs/>
          <w:kern w:val="0"/>
          <w:lang w:eastAsia="en-GB"/>
          <w14:ligatures w14:val="none"/>
        </w:rPr>
        <w:t>), Bollinger Lower Band (</w:t>
      </w:r>
      <w:proofErr w:type="spellStart"/>
      <w:r w:rsidRPr="00ED061C">
        <w:rPr>
          <w:rFonts w:ascii="Times New Roman" w:eastAsia="Times New Roman" w:hAnsi="Times New Roman" w:cs="Times New Roman"/>
          <w:b/>
          <w:bCs/>
          <w:kern w:val="0"/>
          <w:lang w:eastAsia="en-GB"/>
          <w14:ligatures w14:val="none"/>
        </w:rPr>
        <w:t>boll_lb</w:t>
      </w:r>
      <w:proofErr w:type="spellEnd"/>
      <w:r w:rsidRPr="00ED061C">
        <w:rPr>
          <w:rFonts w:ascii="Times New Roman" w:eastAsia="Times New Roman" w:hAnsi="Times New Roman" w:cs="Times New Roman"/>
          <w:b/>
          <w:bCs/>
          <w:kern w:val="0"/>
          <w:lang w:eastAsia="en-GB"/>
          <w14:ligatures w14:val="none"/>
        </w:rPr>
        <w:t>)</w:t>
      </w:r>
      <w:r w:rsidRPr="00ED061C">
        <w:rPr>
          <w:rFonts w:ascii="Times New Roman" w:eastAsia="Times New Roman" w:hAnsi="Times New Roman" w:cs="Times New Roman"/>
          <w:kern w:val="0"/>
          <w:lang w:eastAsia="en-GB"/>
          <w14:ligatures w14:val="none"/>
        </w:rPr>
        <w:t xml:space="preserve"> help determine uptrends or downtrends.</w:t>
      </w:r>
    </w:p>
    <w:p w14:paraId="42188FCA" w14:textId="77777777" w:rsidR="00ED061C" w:rsidRPr="00ED061C" w:rsidRDefault="00ED061C" w:rsidP="00ED061C">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61C">
        <w:rPr>
          <w:rFonts w:ascii="Times New Roman" w:eastAsia="Times New Roman" w:hAnsi="Times New Roman" w:cs="Times New Roman"/>
          <w:b/>
          <w:bCs/>
          <w:kern w:val="0"/>
          <w:lang w:eastAsia="en-GB"/>
          <w14:ligatures w14:val="none"/>
        </w:rPr>
        <w:t>MACD (Moving Average Convergence Divergence)</w:t>
      </w:r>
      <w:r w:rsidRPr="00ED061C">
        <w:rPr>
          <w:rFonts w:ascii="Times New Roman" w:eastAsia="Times New Roman" w:hAnsi="Times New Roman" w:cs="Times New Roman"/>
          <w:kern w:val="0"/>
          <w:lang w:eastAsia="en-GB"/>
          <w14:ligatures w14:val="none"/>
        </w:rPr>
        <w:t xml:space="preserve"> helps traders identify changes in momentum by comparing two moving averages of asset prices.</w:t>
      </w:r>
    </w:p>
    <w:p w14:paraId="43511C56" w14:textId="77777777" w:rsidR="00ED061C" w:rsidRPr="00ED061C" w:rsidRDefault="00ED061C" w:rsidP="00ED061C">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61C">
        <w:rPr>
          <w:rFonts w:ascii="Times New Roman" w:eastAsia="Times New Roman" w:hAnsi="Times New Roman" w:cs="Times New Roman"/>
          <w:b/>
          <w:bCs/>
          <w:kern w:val="0"/>
          <w:lang w:eastAsia="en-GB"/>
          <w14:ligatures w14:val="none"/>
        </w:rPr>
        <w:t>Bollinger Bands (</w:t>
      </w:r>
      <w:proofErr w:type="spellStart"/>
      <w:r w:rsidRPr="00ED061C">
        <w:rPr>
          <w:rFonts w:ascii="Times New Roman" w:eastAsia="Times New Roman" w:hAnsi="Times New Roman" w:cs="Times New Roman"/>
          <w:b/>
          <w:bCs/>
          <w:kern w:val="0"/>
          <w:lang w:eastAsia="en-GB"/>
          <w14:ligatures w14:val="none"/>
        </w:rPr>
        <w:t>boll_ub</w:t>
      </w:r>
      <w:proofErr w:type="spellEnd"/>
      <w:r w:rsidRPr="00ED061C">
        <w:rPr>
          <w:rFonts w:ascii="Times New Roman" w:eastAsia="Times New Roman" w:hAnsi="Times New Roman" w:cs="Times New Roman"/>
          <w:b/>
          <w:bCs/>
          <w:kern w:val="0"/>
          <w:lang w:eastAsia="en-GB"/>
          <w14:ligatures w14:val="none"/>
        </w:rPr>
        <w:t xml:space="preserve"> &amp; </w:t>
      </w:r>
      <w:proofErr w:type="spellStart"/>
      <w:r w:rsidRPr="00ED061C">
        <w:rPr>
          <w:rFonts w:ascii="Times New Roman" w:eastAsia="Times New Roman" w:hAnsi="Times New Roman" w:cs="Times New Roman"/>
          <w:b/>
          <w:bCs/>
          <w:kern w:val="0"/>
          <w:lang w:eastAsia="en-GB"/>
          <w14:ligatures w14:val="none"/>
        </w:rPr>
        <w:t>boll_lb</w:t>
      </w:r>
      <w:proofErr w:type="spellEnd"/>
      <w:r w:rsidRPr="00ED061C">
        <w:rPr>
          <w:rFonts w:ascii="Times New Roman" w:eastAsia="Times New Roman" w:hAnsi="Times New Roman" w:cs="Times New Roman"/>
          <w:b/>
          <w:bCs/>
          <w:kern w:val="0"/>
          <w:lang w:eastAsia="en-GB"/>
          <w14:ligatures w14:val="none"/>
        </w:rPr>
        <w:t>)</w:t>
      </w:r>
      <w:r w:rsidRPr="00ED061C">
        <w:rPr>
          <w:rFonts w:ascii="Times New Roman" w:eastAsia="Times New Roman" w:hAnsi="Times New Roman" w:cs="Times New Roman"/>
          <w:kern w:val="0"/>
          <w:lang w:eastAsia="en-GB"/>
          <w14:ligatures w14:val="none"/>
        </w:rPr>
        <w:t xml:space="preserve"> provide a dynamic range of price movement, helping identify overbought and oversold conditions.</w:t>
      </w:r>
    </w:p>
    <w:p w14:paraId="19B8F4EC" w14:textId="77777777" w:rsidR="00ED061C" w:rsidRPr="00ED061C" w:rsidRDefault="00ED061C" w:rsidP="00ED061C">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61C">
        <w:rPr>
          <w:rFonts w:ascii="Times New Roman" w:eastAsia="Times New Roman" w:hAnsi="Times New Roman" w:cs="Times New Roman"/>
          <w:kern w:val="0"/>
          <w:lang w:eastAsia="en-GB"/>
          <w14:ligatures w14:val="none"/>
        </w:rPr>
        <w:t xml:space="preserve">The </w:t>
      </w:r>
      <w:proofErr w:type="spellStart"/>
      <w:r w:rsidRPr="00ED061C">
        <w:rPr>
          <w:rFonts w:ascii="Times New Roman" w:eastAsia="Times New Roman" w:hAnsi="Times New Roman" w:cs="Times New Roman"/>
          <w:kern w:val="0"/>
          <w:lang w:eastAsia="en-GB"/>
          <w14:ligatures w14:val="none"/>
        </w:rPr>
        <w:t>FinRL</w:t>
      </w:r>
      <w:proofErr w:type="spellEnd"/>
      <w:r w:rsidRPr="00ED061C">
        <w:rPr>
          <w:rFonts w:ascii="Times New Roman" w:eastAsia="Times New Roman" w:hAnsi="Times New Roman" w:cs="Times New Roman"/>
          <w:kern w:val="0"/>
          <w:lang w:eastAsia="en-GB"/>
          <w14:ligatures w14:val="none"/>
        </w:rPr>
        <w:t xml:space="preserve"> agent can allocate more weight to trending stocks and reduce exposure to declining ones.</w:t>
      </w:r>
    </w:p>
    <w:p w14:paraId="6798C7DD" w14:textId="77777777" w:rsidR="00ED061C" w:rsidRPr="003C6A2D" w:rsidRDefault="00ED061C" w:rsidP="003C6A2D">
      <w:pPr>
        <w:spacing w:before="100" w:beforeAutospacing="1" w:after="100" w:afterAutospacing="1" w:line="240" w:lineRule="auto"/>
        <w:ind w:left="360"/>
        <w:outlineLvl w:val="3"/>
        <w:rPr>
          <w:rFonts w:ascii="Times New Roman" w:eastAsia="Times New Roman" w:hAnsi="Times New Roman" w:cs="Times New Roman"/>
          <w:b/>
          <w:bCs/>
          <w:i/>
          <w:iCs/>
          <w:kern w:val="0"/>
          <w:lang w:eastAsia="en-GB"/>
          <w14:ligatures w14:val="none"/>
        </w:rPr>
      </w:pPr>
      <w:r w:rsidRPr="003C6A2D">
        <w:rPr>
          <w:rFonts w:ascii="Times New Roman" w:eastAsia="Times New Roman" w:hAnsi="Times New Roman" w:cs="Times New Roman"/>
          <w:b/>
          <w:bCs/>
          <w:i/>
          <w:iCs/>
          <w:kern w:val="0"/>
          <w:lang w:eastAsia="en-GB"/>
          <w14:ligatures w14:val="none"/>
        </w:rPr>
        <w:t>2.3 Reducing Portfolio Volatility</w:t>
      </w:r>
    </w:p>
    <w:p w14:paraId="6B386A16" w14:textId="77777777" w:rsidR="00ED061C" w:rsidRPr="00ED061C" w:rsidRDefault="00ED061C" w:rsidP="00ED061C">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61C">
        <w:rPr>
          <w:rFonts w:ascii="Times New Roman" w:eastAsia="Times New Roman" w:hAnsi="Times New Roman" w:cs="Times New Roman"/>
          <w:b/>
          <w:bCs/>
          <w:kern w:val="0"/>
          <w:lang w:eastAsia="en-GB"/>
          <w14:ligatures w14:val="none"/>
        </w:rPr>
        <w:t>DX_30 (Directional Movement Index)</w:t>
      </w:r>
      <w:r w:rsidRPr="00ED061C">
        <w:rPr>
          <w:rFonts w:ascii="Times New Roman" w:eastAsia="Times New Roman" w:hAnsi="Times New Roman" w:cs="Times New Roman"/>
          <w:kern w:val="0"/>
          <w:lang w:eastAsia="en-GB"/>
          <w14:ligatures w14:val="none"/>
        </w:rPr>
        <w:t xml:space="preserve"> measures price fluctuations and helps determine trend strength.</w:t>
      </w:r>
    </w:p>
    <w:p w14:paraId="6E4AB10B" w14:textId="77777777" w:rsidR="00ED061C" w:rsidRPr="00ED061C" w:rsidRDefault="00ED061C" w:rsidP="00ED061C">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ED061C">
        <w:rPr>
          <w:rFonts w:ascii="Times New Roman" w:eastAsia="Times New Roman" w:hAnsi="Times New Roman" w:cs="Times New Roman"/>
          <w:kern w:val="0"/>
          <w:lang w:eastAsia="en-GB"/>
          <w14:ligatures w14:val="none"/>
        </w:rPr>
        <w:t>FinRL</w:t>
      </w:r>
      <w:proofErr w:type="spellEnd"/>
      <w:r w:rsidRPr="00ED061C">
        <w:rPr>
          <w:rFonts w:ascii="Times New Roman" w:eastAsia="Times New Roman" w:hAnsi="Times New Roman" w:cs="Times New Roman"/>
          <w:kern w:val="0"/>
          <w:lang w:eastAsia="en-GB"/>
          <w14:ligatures w14:val="none"/>
        </w:rPr>
        <w:t xml:space="preserve"> dynamically adjusts portfolio allocation to avoid high-risk assets during volatile market periods.</w:t>
      </w:r>
    </w:p>
    <w:p w14:paraId="4276F84B" w14:textId="77777777" w:rsidR="00ED061C" w:rsidRPr="003C6A2D" w:rsidRDefault="00ED061C" w:rsidP="003C6A2D">
      <w:pPr>
        <w:spacing w:before="100" w:beforeAutospacing="1" w:after="100" w:afterAutospacing="1" w:line="240" w:lineRule="auto"/>
        <w:ind w:left="360"/>
        <w:outlineLvl w:val="3"/>
        <w:rPr>
          <w:rFonts w:ascii="Times New Roman" w:eastAsia="Times New Roman" w:hAnsi="Times New Roman" w:cs="Times New Roman"/>
          <w:b/>
          <w:bCs/>
          <w:i/>
          <w:iCs/>
          <w:kern w:val="0"/>
          <w:lang w:eastAsia="en-GB"/>
          <w14:ligatures w14:val="none"/>
        </w:rPr>
      </w:pPr>
      <w:r w:rsidRPr="003C6A2D">
        <w:rPr>
          <w:rFonts w:ascii="Times New Roman" w:eastAsia="Times New Roman" w:hAnsi="Times New Roman" w:cs="Times New Roman"/>
          <w:b/>
          <w:bCs/>
          <w:i/>
          <w:iCs/>
          <w:kern w:val="0"/>
          <w:lang w:eastAsia="en-GB"/>
          <w14:ligatures w14:val="none"/>
        </w:rPr>
        <w:t>2.4 Detecting Overbought and Oversold Conditions</w:t>
      </w:r>
    </w:p>
    <w:p w14:paraId="6920347A" w14:textId="77777777" w:rsidR="00ED061C" w:rsidRPr="00ED061C" w:rsidRDefault="00ED061C" w:rsidP="00ED061C">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61C">
        <w:rPr>
          <w:rFonts w:ascii="Times New Roman" w:eastAsia="Times New Roman" w:hAnsi="Times New Roman" w:cs="Times New Roman"/>
          <w:b/>
          <w:bCs/>
          <w:kern w:val="0"/>
          <w:lang w:eastAsia="en-GB"/>
          <w14:ligatures w14:val="none"/>
        </w:rPr>
        <w:t>RSI_30 (Relative Strength Index)</w:t>
      </w:r>
      <w:r w:rsidRPr="00ED061C">
        <w:rPr>
          <w:rFonts w:ascii="Times New Roman" w:eastAsia="Times New Roman" w:hAnsi="Times New Roman" w:cs="Times New Roman"/>
          <w:kern w:val="0"/>
          <w:lang w:eastAsia="en-GB"/>
          <w14:ligatures w14:val="none"/>
        </w:rPr>
        <w:t xml:space="preserve"> is used to determine whether a stock is overbought or oversold, helping in portfolio rebalancing.</w:t>
      </w:r>
    </w:p>
    <w:p w14:paraId="138A275B" w14:textId="77777777" w:rsidR="00ED061C" w:rsidRPr="00ED061C" w:rsidRDefault="00ED061C" w:rsidP="00ED061C">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61C">
        <w:rPr>
          <w:rFonts w:ascii="Times New Roman" w:eastAsia="Times New Roman" w:hAnsi="Times New Roman" w:cs="Times New Roman"/>
          <w:b/>
          <w:bCs/>
          <w:kern w:val="0"/>
          <w:lang w:eastAsia="en-GB"/>
          <w14:ligatures w14:val="none"/>
        </w:rPr>
        <w:t>CCI_30 (Commodity Channel Index)</w:t>
      </w:r>
      <w:r w:rsidRPr="00ED061C">
        <w:rPr>
          <w:rFonts w:ascii="Times New Roman" w:eastAsia="Times New Roman" w:hAnsi="Times New Roman" w:cs="Times New Roman"/>
          <w:kern w:val="0"/>
          <w:lang w:eastAsia="en-GB"/>
          <w14:ligatures w14:val="none"/>
        </w:rPr>
        <w:t xml:space="preserve"> measures price deviation from its statistical mean, helping detect trend reversals.</w:t>
      </w:r>
    </w:p>
    <w:p w14:paraId="36148B47" w14:textId="77777777" w:rsidR="00ED061C" w:rsidRPr="00ED061C" w:rsidRDefault="00ED061C" w:rsidP="00ED061C">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61C">
        <w:rPr>
          <w:rFonts w:ascii="Times New Roman" w:eastAsia="Times New Roman" w:hAnsi="Times New Roman" w:cs="Times New Roman"/>
          <w:kern w:val="0"/>
          <w:lang w:eastAsia="en-GB"/>
          <w14:ligatures w14:val="none"/>
        </w:rPr>
        <w:t>The agent can rebalance the portfolio by adjusting allocation based on these signals.</w:t>
      </w:r>
    </w:p>
    <w:p w14:paraId="4D2FE5A1" w14:textId="77777777" w:rsidR="00ED061C" w:rsidRPr="003C6A2D" w:rsidRDefault="00ED061C" w:rsidP="003C6A2D">
      <w:pPr>
        <w:spacing w:before="100" w:beforeAutospacing="1" w:after="100" w:afterAutospacing="1" w:line="240" w:lineRule="auto"/>
        <w:ind w:left="360"/>
        <w:outlineLvl w:val="3"/>
        <w:rPr>
          <w:rFonts w:ascii="Times New Roman" w:eastAsia="Times New Roman" w:hAnsi="Times New Roman" w:cs="Times New Roman"/>
          <w:b/>
          <w:bCs/>
          <w:i/>
          <w:iCs/>
          <w:kern w:val="0"/>
          <w:lang w:eastAsia="en-GB"/>
          <w14:ligatures w14:val="none"/>
        </w:rPr>
      </w:pPr>
      <w:r w:rsidRPr="003C6A2D">
        <w:rPr>
          <w:rFonts w:ascii="Times New Roman" w:eastAsia="Times New Roman" w:hAnsi="Times New Roman" w:cs="Times New Roman"/>
          <w:b/>
          <w:bCs/>
          <w:i/>
          <w:iCs/>
          <w:kern w:val="0"/>
          <w:lang w:eastAsia="en-GB"/>
          <w14:ligatures w14:val="none"/>
        </w:rPr>
        <w:t>2.5 Improving Risk-Adjusted Returns</w:t>
      </w:r>
    </w:p>
    <w:p w14:paraId="41892C3A" w14:textId="77777777" w:rsidR="00ED061C" w:rsidRPr="00ED061C" w:rsidRDefault="00ED061C" w:rsidP="00ED061C">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ED061C">
        <w:rPr>
          <w:rFonts w:ascii="Times New Roman" w:eastAsia="Times New Roman" w:hAnsi="Times New Roman" w:cs="Times New Roman"/>
          <w:kern w:val="0"/>
          <w:lang w:eastAsia="en-GB"/>
          <w14:ligatures w14:val="none"/>
        </w:rPr>
        <w:t>FinRL</w:t>
      </w:r>
      <w:proofErr w:type="spellEnd"/>
      <w:r w:rsidRPr="00ED061C">
        <w:rPr>
          <w:rFonts w:ascii="Times New Roman" w:eastAsia="Times New Roman" w:hAnsi="Times New Roman" w:cs="Times New Roman"/>
          <w:kern w:val="0"/>
          <w:lang w:eastAsia="en-GB"/>
          <w14:ligatures w14:val="none"/>
        </w:rPr>
        <w:t xml:space="preserve"> optimizes risk-adjusted returns using indicators like </w:t>
      </w:r>
      <w:r w:rsidRPr="00ED061C">
        <w:rPr>
          <w:rFonts w:ascii="Times New Roman" w:eastAsia="Times New Roman" w:hAnsi="Times New Roman" w:cs="Times New Roman"/>
          <w:b/>
          <w:bCs/>
          <w:kern w:val="0"/>
          <w:lang w:eastAsia="en-GB"/>
          <w14:ligatures w14:val="none"/>
        </w:rPr>
        <w:t>Close 30 SMA (close_30_sma) and Close 60 SMA (close_60_sma).</w:t>
      </w:r>
    </w:p>
    <w:p w14:paraId="467285A3" w14:textId="77777777" w:rsidR="00ED061C" w:rsidRPr="00ED061C" w:rsidRDefault="00ED061C" w:rsidP="00ED061C">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61C">
        <w:rPr>
          <w:rFonts w:ascii="Times New Roman" w:eastAsia="Times New Roman" w:hAnsi="Times New Roman" w:cs="Times New Roman"/>
          <w:b/>
          <w:bCs/>
          <w:kern w:val="0"/>
          <w:lang w:eastAsia="en-GB"/>
          <w14:ligatures w14:val="none"/>
        </w:rPr>
        <w:lastRenderedPageBreak/>
        <w:t>SMA (Simple Moving Average)</w:t>
      </w:r>
      <w:r w:rsidRPr="00ED061C">
        <w:rPr>
          <w:rFonts w:ascii="Times New Roman" w:eastAsia="Times New Roman" w:hAnsi="Times New Roman" w:cs="Times New Roman"/>
          <w:kern w:val="0"/>
          <w:lang w:eastAsia="en-GB"/>
          <w14:ligatures w14:val="none"/>
        </w:rPr>
        <w:t xml:space="preserve"> smoothens price fluctuations and helps detect overall trend direction.</w:t>
      </w:r>
    </w:p>
    <w:p w14:paraId="327D8C84" w14:textId="77777777" w:rsidR="00ED061C" w:rsidRPr="00ED061C" w:rsidRDefault="00ED061C" w:rsidP="00ED061C">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61C">
        <w:rPr>
          <w:rFonts w:ascii="Times New Roman" w:eastAsia="Times New Roman" w:hAnsi="Times New Roman" w:cs="Times New Roman"/>
          <w:kern w:val="0"/>
          <w:lang w:eastAsia="en-GB"/>
          <w14:ligatures w14:val="none"/>
        </w:rPr>
        <w:t>Combining these indicators with reinforcement learning helps construct a more stable and profitable portfolio.</w:t>
      </w:r>
    </w:p>
    <w:p w14:paraId="158476AD" w14:textId="77777777" w:rsidR="00ED061C" w:rsidRPr="003C6A2D" w:rsidRDefault="00ED061C" w:rsidP="00ED061C">
      <w:pPr>
        <w:spacing w:before="100" w:beforeAutospacing="1" w:after="100" w:afterAutospacing="1" w:line="240" w:lineRule="auto"/>
        <w:outlineLvl w:val="2"/>
        <w:rPr>
          <w:rFonts w:ascii="Times New Roman" w:eastAsia="Times New Roman" w:hAnsi="Times New Roman" w:cs="Times New Roman"/>
          <w:b/>
          <w:bCs/>
          <w:kern w:val="0"/>
          <w:sz w:val="28"/>
          <w:szCs w:val="28"/>
          <w:lang w:eastAsia="en-GB"/>
          <w14:ligatures w14:val="none"/>
        </w:rPr>
      </w:pPr>
      <w:r w:rsidRPr="003C6A2D">
        <w:rPr>
          <w:rFonts w:ascii="Times New Roman" w:eastAsia="Times New Roman" w:hAnsi="Times New Roman" w:cs="Times New Roman"/>
          <w:b/>
          <w:bCs/>
          <w:kern w:val="0"/>
          <w:sz w:val="28"/>
          <w:szCs w:val="28"/>
          <w:lang w:eastAsia="en-GB"/>
          <w14:ligatures w14:val="none"/>
        </w:rPr>
        <w:t xml:space="preserve">3. Commonly Used Technical Indicators in </w:t>
      </w:r>
      <w:proofErr w:type="spellStart"/>
      <w:r w:rsidRPr="003C6A2D">
        <w:rPr>
          <w:rFonts w:ascii="Times New Roman" w:eastAsia="Times New Roman" w:hAnsi="Times New Roman" w:cs="Times New Roman"/>
          <w:b/>
          <w:bCs/>
          <w:kern w:val="0"/>
          <w:sz w:val="28"/>
          <w:szCs w:val="28"/>
          <w:lang w:eastAsia="en-GB"/>
          <w14:ligatures w14:val="none"/>
        </w:rPr>
        <w:t>FinRL</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85"/>
        <w:gridCol w:w="6031"/>
      </w:tblGrid>
      <w:tr w:rsidR="00ED061C" w:rsidRPr="00ED061C" w14:paraId="3D09854D" w14:textId="77777777" w:rsidTr="00ED061C">
        <w:trPr>
          <w:tblHeader/>
          <w:tblCellSpacing w:w="15" w:type="dxa"/>
        </w:trPr>
        <w:tc>
          <w:tcPr>
            <w:tcW w:w="0" w:type="auto"/>
            <w:vAlign w:val="center"/>
            <w:hideMark/>
          </w:tcPr>
          <w:p w14:paraId="15C992B5" w14:textId="77777777" w:rsidR="00ED061C" w:rsidRPr="00ED061C" w:rsidRDefault="00ED061C" w:rsidP="00ED061C">
            <w:pPr>
              <w:spacing w:after="0" w:line="240" w:lineRule="auto"/>
              <w:jc w:val="center"/>
              <w:rPr>
                <w:rFonts w:ascii="Times New Roman" w:eastAsia="Times New Roman" w:hAnsi="Times New Roman" w:cs="Times New Roman"/>
                <w:b/>
                <w:bCs/>
                <w:kern w:val="0"/>
                <w:lang w:eastAsia="en-GB"/>
                <w14:ligatures w14:val="none"/>
              </w:rPr>
            </w:pPr>
            <w:r w:rsidRPr="00ED061C">
              <w:rPr>
                <w:rFonts w:ascii="Times New Roman" w:eastAsia="Times New Roman" w:hAnsi="Times New Roman" w:cs="Times New Roman"/>
                <w:b/>
                <w:bCs/>
                <w:kern w:val="0"/>
                <w:lang w:eastAsia="en-GB"/>
                <w14:ligatures w14:val="none"/>
              </w:rPr>
              <w:t>Indicator</w:t>
            </w:r>
          </w:p>
        </w:tc>
        <w:tc>
          <w:tcPr>
            <w:tcW w:w="0" w:type="auto"/>
            <w:vAlign w:val="center"/>
            <w:hideMark/>
          </w:tcPr>
          <w:p w14:paraId="710DE4A5" w14:textId="77777777" w:rsidR="00ED061C" w:rsidRPr="00ED061C" w:rsidRDefault="00ED061C" w:rsidP="00ED061C">
            <w:pPr>
              <w:spacing w:after="0" w:line="240" w:lineRule="auto"/>
              <w:jc w:val="center"/>
              <w:rPr>
                <w:rFonts w:ascii="Times New Roman" w:eastAsia="Times New Roman" w:hAnsi="Times New Roman" w:cs="Times New Roman"/>
                <w:b/>
                <w:bCs/>
                <w:kern w:val="0"/>
                <w:lang w:eastAsia="en-GB"/>
                <w14:ligatures w14:val="none"/>
              </w:rPr>
            </w:pPr>
            <w:r w:rsidRPr="00ED061C">
              <w:rPr>
                <w:rFonts w:ascii="Times New Roman" w:eastAsia="Times New Roman" w:hAnsi="Times New Roman" w:cs="Times New Roman"/>
                <w:b/>
                <w:bCs/>
                <w:kern w:val="0"/>
                <w:lang w:eastAsia="en-GB"/>
                <w14:ligatures w14:val="none"/>
              </w:rPr>
              <w:t>Purpose</w:t>
            </w:r>
          </w:p>
        </w:tc>
      </w:tr>
      <w:tr w:rsidR="00ED061C" w:rsidRPr="00ED061C" w14:paraId="4C025C49" w14:textId="77777777" w:rsidTr="00ED061C">
        <w:trPr>
          <w:tblCellSpacing w:w="15" w:type="dxa"/>
        </w:trPr>
        <w:tc>
          <w:tcPr>
            <w:tcW w:w="0" w:type="auto"/>
            <w:vAlign w:val="center"/>
            <w:hideMark/>
          </w:tcPr>
          <w:p w14:paraId="314BC273" w14:textId="77777777" w:rsidR="00ED061C" w:rsidRPr="00ED061C" w:rsidRDefault="00ED061C" w:rsidP="00ED061C">
            <w:pPr>
              <w:spacing w:after="0" w:line="240" w:lineRule="auto"/>
              <w:rPr>
                <w:rFonts w:ascii="Times New Roman" w:eastAsia="Times New Roman" w:hAnsi="Times New Roman" w:cs="Times New Roman"/>
                <w:kern w:val="0"/>
                <w:lang w:eastAsia="en-GB"/>
                <w14:ligatures w14:val="none"/>
              </w:rPr>
            </w:pPr>
            <w:r w:rsidRPr="00ED061C">
              <w:rPr>
                <w:rFonts w:ascii="Times New Roman" w:eastAsia="Times New Roman" w:hAnsi="Times New Roman" w:cs="Times New Roman"/>
                <w:b/>
                <w:bCs/>
                <w:kern w:val="0"/>
                <w:lang w:eastAsia="en-GB"/>
                <w14:ligatures w14:val="none"/>
              </w:rPr>
              <w:t>MACD</w:t>
            </w:r>
          </w:p>
        </w:tc>
        <w:tc>
          <w:tcPr>
            <w:tcW w:w="0" w:type="auto"/>
            <w:vAlign w:val="center"/>
            <w:hideMark/>
          </w:tcPr>
          <w:p w14:paraId="426F89B2" w14:textId="77777777" w:rsidR="00ED061C" w:rsidRPr="00ED061C" w:rsidRDefault="00ED061C" w:rsidP="00ED061C">
            <w:pPr>
              <w:spacing w:after="0" w:line="240" w:lineRule="auto"/>
              <w:rPr>
                <w:rFonts w:ascii="Times New Roman" w:eastAsia="Times New Roman" w:hAnsi="Times New Roman" w:cs="Times New Roman"/>
                <w:kern w:val="0"/>
                <w:lang w:eastAsia="en-GB"/>
                <w14:ligatures w14:val="none"/>
              </w:rPr>
            </w:pPr>
            <w:r w:rsidRPr="00ED061C">
              <w:rPr>
                <w:rFonts w:ascii="Times New Roman" w:eastAsia="Times New Roman" w:hAnsi="Times New Roman" w:cs="Times New Roman"/>
                <w:kern w:val="0"/>
                <w:lang w:eastAsia="en-GB"/>
                <w14:ligatures w14:val="none"/>
              </w:rPr>
              <w:t>Measures momentum and trend direction by comparing moving averages</w:t>
            </w:r>
          </w:p>
        </w:tc>
      </w:tr>
      <w:tr w:rsidR="00ED061C" w:rsidRPr="00ED061C" w14:paraId="474EAA8A" w14:textId="77777777" w:rsidTr="00ED061C">
        <w:trPr>
          <w:tblCellSpacing w:w="15" w:type="dxa"/>
        </w:trPr>
        <w:tc>
          <w:tcPr>
            <w:tcW w:w="0" w:type="auto"/>
            <w:vAlign w:val="center"/>
            <w:hideMark/>
          </w:tcPr>
          <w:p w14:paraId="119B4892" w14:textId="77777777" w:rsidR="00ED061C" w:rsidRPr="00ED061C" w:rsidRDefault="00ED061C" w:rsidP="00ED061C">
            <w:pPr>
              <w:spacing w:after="0" w:line="240" w:lineRule="auto"/>
              <w:rPr>
                <w:rFonts w:ascii="Times New Roman" w:eastAsia="Times New Roman" w:hAnsi="Times New Roman" w:cs="Times New Roman"/>
                <w:kern w:val="0"/>
                <w:lang w:eastAsia="en-GB"/>
                <w14:ligatures w14:val="none"/>
              </w:rPr>
            </w:pPr>
            <w:r w:rsidRPr="00ED061C">
              <w:rPr>
                <w:rFonts w:ascii="Times New Roman" w:eastAsia="Times New Roman" w:hAnsi="Times New Roman" w:cs="Times New Roman"/>
                <w:b/>
                <w:bCs/>
                <w:kern w:val="0"/>
                <w:lang w:eastAsia="en-GB"/>
                <w14:ligatures w14:val="none"/>
              </w:rPr>
              <w:t>Bollinger Upper Band (</w:t>
            </w:r>
            <w:proofErr w:type="spellStart"/>
            <w:r w:rsidRPr="00ED061C">
              <w:rPr>
                <w:rFonts w:ascii="Times New Roman" w:eastAsia="Times New Roman" w:hAnsi="Times New Roman" w:cs="Times New Roman"/>
                <w:b/>
                <w:bCs/>
                <w:kern w:val="0"/>
                <w:lang w:eastAsia="en-GB"/>
                <w14:ligatures w14:val="none"/>
              </w:rPr>
              <w:t>boll_ub</w:t>
            </w:r>
            <w:proofErr w:type="spellEnd"/>
            <w:r w:rsidRPr="00ED061C">
              <w:rPr>
                <w:rFonts w:ascii="Times New Roman" w:eastAsia="Times New Roman" w:hAnsi="Times New Roman" w:cs="Times New Roman"/>
                <w:b/>
                <w:bCs/>
                <w:kern w:val="0"/>
                <w:lang w:eastAsia="en-GB"/>
                <w14:ligatures w14:val="none"/>
              </w:rPr>
              <w:t>)</w:t>
            </w:r>
          </w:p>
        </w:tc>
        <w:tc>
          <w:tcPr>
            <w:tcW w:w="0" w:type="auto"/>
            <w:vAlign w:val="center"/>
            <w:hideMark/>
          </w:tcPr>
          <w:p w14:paraId="0D3BB9AC" w14:textId="77777777" w:rsidR="00ED061C" w:rsidRPr="00ED061C" w:rsidRDefault="00ED061C" w:rsidP="00ED061C">
            <w:pPr>
              <w:spacing w:after="0" w:line="240" w:lineRule="auto"/>
              <w:rPr>
                <w:rFonts w:ascii="Times New Roman" w:eastAsia="Times New Roman" w:hAnsi="Times New Roman" w:cs="Times New Roman"/>
                <w:kern w:val="0"/>
                <w:lang w:eastAsia="en-GB"/>
                <w14:ligatures w14:val="none"/>
              </w:rPr>
            </w:pPr>
            <w:r w:rsidRPr="00ED061C">
              <w:rPr>
                <w:rFonts w:ascii="Times New Roman" w:eastAsia="Times New Roman" w:hAnsi="Times New Roman" w:cs="Times New Roman"/>
                <w:kern w:val="0"/>
                <w:lang w:eastAsia="en-GB"/>
                <w14:ligatures w14:val="none"/>
              </w:rPr>
              <w:t>Identifies potential price breakouts above a dynamic range</w:t>
            </w:r>
          </w:p>
        </w:tc>
      </w:tr>
      <w:tr w:rsidR="00ED061C" w:rsidRPr="00ED061C" w14:paraId="2D925A71" w14:textId="77777777" w:rsidTr="00ED061C">
        <w:trPr>
          <w:tblCellSpacing w:w="15" w:type="dxa"/>
        </w:trPr>
        <w:tc>
          <w:tcPr>
            <w:tcW w:w="0" w:type="auto"/>
            <w:vAlign w:val="center"/>
            <w:hideMark/>
          </w:tcPr>
          <w:p w14:paraId="2FF14CAC" w14:textId="77777777" w:rsidR="00ED061C" w:rsidRPr="00ED061C" w:rsidRDefault="00ED061C" w:rsidP="00ED061C">
            <w:pPr>
              <w:spacing w:after="0" w:line="240" w:lineRule="auto"/>
              <w:rPr>
                <w:rFonts w:ascii="Times New Roman" w:eastAsia="Times New Roman" w:hAnsi="Times New Roman" w:cs="Times New Roman"/>
                <w:kern w:val="0"/>
                <w:lang w:eastAsia="en-GB"/>
                <w14:ligatures w14:val="none"/>
              </w:rPr>
            </w:pPr>
            <w:r w:rsidRPr="00ED061C">
              <w:rPr>
                <w:rFonts w:ascii="Times New Roman" w:eastAsia="Times New Roman" w:hAnsi="Times New Roman" w:cs="Times New Roman"/>
                <w:b/>
                <w:bCs/>
                <w:kern w:val="0"/>
                <w:lang w:eastAsia="en-GB"/>
                <w14:ligatures w14:val="none"/>
              </w:rPr>
              <w:t>Bollinger Lower Band (</w:t>
            </w:r>
            <w:proofErr w:type="spellStart"/>
            <w:r w:rsidRPr="00ED061C">
              <w:rPr>
                <w:rFonts w:ascii="Times New Roman" w:eastAsia="Times New Roman" w:hAnsi="Times New Roman" w:cs="Times New Roman"/>
                <w:b/>
                <w:bCs/>
                <w:kern w:val="0"/>
                <w:lang w:eastAsia="en-GB"/>
                <w14:ligatures w14:val="none"/>
              </w:rPr>
              <w:t>boll_lb</w:t>
            </w:r>
            <w:proofErr w:type="spellEnd"/>
            <w:r w:rsidRPr="00ED061C">
              <w:rPr>
                <w:rFonts w:ascii="Times New Roman" w:eastAsia="Times New Roman" w:hAnsi="Times New Roman" w:cs="Times New Roman"/>
                <w:b/>
                <w:bCs/>
                <w:kern w:val="0"/>
                <w:lang w:eastAsia="en-GB"/>
                <w14:ligatures w14:val="none"/>
              </w:rPr>
              <w:t>)</w:t>
            </w:r>
          </w:p>
        </w:tc>
        <w:tc>
          <w:tcPr>
            <w:tcW w:w="0" w:type="auto"/>
            <w:vAlign w:val="center"/>
            <w:hideMark/>
          </w:tcPr>
          <w:p w14:paraId="57172279" w14:textId="77777777" w:rsidR="00ED061C" w:rsidRPr="00ED061C" w:rsidRDefault="00ED061C" w:rsidP="00ED061C">
            <w:pPr>
              <w:spacing w:after="0" w:line="240" w:lineRule="auto"/>
              <w:rPr>
                <w:rFonts w:ascii="Times New Roman" w:eastAsia="Times New Roman" w:hAnsi="Times New Roman" w:cs="Times New Roman"/>
                <w:kern w:val="0"/>
                <w:lang w:eastAsia="en-GB"/>
                <w14:ligatures w14:val="none"/>
              </w:rPr>
            </w:pPr>
            <w:r w:rsidRPr="00ED061C">
              <w:rPr>
                <w:rFonts w:ascii="Times New Roman" w:eastAsia="Times New Roman" w:hAnsi="Times New Roman" w:cs="Times New Roman"/>
                <w:kern w:val="0"/>
                <w:lang w:eastAsia="en-GB"/>
                <w14:ligatures w14:val="none"/>
              </w:rPr>
              <w:t>Identifies potential price rebounds below a dynamic range</w:t>
            </w:r>
          </w:p>
        </w:tc>
      </w:tr>
      <w:tr w:rsidR="00ED061C" w:rsidRPr="00ED061C" w14:paraId="20AFB529" w14:textId="77777777" w:rsidTr="00ED061C">
        <w:trPr>
          <w:tblCellSpacing w:w="15" w:type="dxa"/>
        </w:trPr>
        <w:tc>
          <w:tcPr>
            <w:tcW w:w="0" w:type="auto"/>
            <w:vAlign w:val="center"/>
            <w:hideMark/>
          </w:tcPr>
          <w:p w14:paraId="62A47CC3" w14:textId="77777777" w:rsidR="00ED061C" w:rsidRPr="00ED061C" w:rsidRDefault="00ED061C" w:rsidP="00ED061C">
            <w:pPr>
              <w:spacing w:after="0" w:line="240" w:lineRule="auto"/>
              <w:rPr>
                <w:rFonts w:ascii="Times New Roman" w:eastAsia="Times New Roman" w:hAnsi="Times New Roman" w:cs="Times New Roman"/>
                <w:kern w:val="0"/>
                <w:lang w:eastAsia="en-GB"/>
                <w14:ligatures w14:val="none"/>
              </w:rPr>
            </w:pPr>
            <w:r w:rsidRPr="00ED061C">
              <w:rPr>
                <w:rFonts w:ascii="Times New Roman" w:eastAsia="Times New Roman" w:hAnsi="Times New Roman" w:cs="Times New Roman"/>
                <w:b/>
                <w:bCs/>
                <w:kern w:val="0"/>
                <w:lang w:eastAsia="en-GB"/>
                <w14:ligatures w14:val="none"/>
              </w:rPr>
              <w:t>RSI_30</w:t>
            </w:r>
          </w:p>
        </w:tc>
        <w:tc>
          <w:tcPr>
            <w:tcW w:w="0" w:type="auto"/>
            <w:vAlign w:val="center"/>
            <w:hideMark/>
          </w:tcPr>
          <w:p w14:paraId="5B532B44" w14:textId="77777777" w:rsidR="00ED061C" w:rsidRPr="00ED061C" w:rsidRDefault="00ED061C" w:rsidP="00ED061C">
            <w:pPr>
              <w:spacing w:after="0" w:line="240" w:lineRule="auto"/>
              <w:rPr>
                <w:rFonts w:ascii="Times New Roman" w:eastAsia="Times New Roman" w:hAnsi="Times New Roman" w:cs="Times New Roman"/>
                <w:kern w:val="0"/>
                <w:lang w:eastAsia="en-GB"/>
                <w14:ligatures w14:val="none"/>
              </w:rPr>
            </w:pPr>
            <w:r w:rsidRPr="00ED061C">
              <w:rPr>
                <w:rFonts w:ascii="Times New Roman" w:eastAsia="Times New Roman" w:hAnsi="Times New Roman" w:cs="Times New Roman"/>
                <w:kern w:val="0"/>
                <w:lang w:eastAsia="en-GB"/>
                <w14:ligatures w14:val="none"/>
              </w:rPr>
              <w:t>Detects overbought/oversold conditions and signals potential reversals</w:t>
            </w:r>
          </w:p>
        </w:tc>
      </w:tr>
      <w:tr w:rsidR="00ED061C" w:rsidRPr="00ED061C" w14:paraId="76D5B2BE" w14:textId="77777777" w:rsidTr="00ED061C">
        <w:trPr>
          <w:tblCellSpacing w:w="15" w:type="dxa"/>
        </w:trPr>
        <w:tc>
          <w:tcPr>
            <w:tcW w:w="0" w:type="auto"/>
            <w:vAlign w:val="center"/>
            <w:hideMark/>
          </w:tcPr>
          <w:p w14:paraId="0FC59720" w14:textId="77777777" w:rsidR="00ED061C" w:rsidRPr="00ED061C" w:rsidRDefault="00ED061C" w:rsidP="00ED061C">
            <w:pPr>
              <w:spacing w:after="0" w:line="240" w:lineRule="auto"/>
              <w:rPr>
                <w:rFonts w:ascii="Times New Roman" w:eastAsia="Times New Roman" w:hAnsi="Times New Roman" w:cs="Times New Roman"/>
                <w:kern w:val="0"/>
                <w:lang w:eastAsia="en-GB"/>
                <w14:ligatures w14:val="none"/>
              </w:rPr>
            </w:pPr>
            <w:r w:rsidRPr="00ED061C">
              <w:rPr>
                <w:rFonts w:ascii="Times New Roman" w:eastAsia="Times New Roman" w:hAnsi="Times New Roman" w:cs="Times New Roman"/>
                <w:b/>
                <w:bCs/>
                <w:kern w:val="0"/>
                <w:lang w:eastAsia="en-GB"/>
                <w14:ligatures w14:val="none"/>
              </w:rPr>
              <w:t>CCI_30</w:t>
            </w:r>
          </w:p>
        </w:tc>
        <w:tc>
          <w:tcPr>
            <w:tcW w:w="0" w:type="auto"/>
            <w:vAlign w:val="center"/>
            <w:hideMark/>
          </w:tcPr>
          <w:p w14:paraId="2A436711" w14:textId="77777777" w:rsidR="00ED061C" w:rsidRPr="00ED061C" w:rsidRDefault="00ED061C" w:rsidP="00ED061C">
            <w:pPr>
              <w:spacing w:after="0" w:line="240" w:lineRule="auto"/>
              <w:rPr>
                <w:rFonts w:ascii="Times New Roman" w:eastAsia="Times New Roman" w:hAnsi="Times New Roman" w:cs="Times New Roman"/>
                <w:kern w:val="0"/>
                <w:lang w:eastAsia="en-GB"/>
                <w14:ligatures w14:val="none"/>
              </w:rPr>
            </w:pPr>
            <w:r w:rsidRPr="00ED061C">
              <w:rPr>
                <w:rFonts w:ascii="Times New Roman" w:eastAsia="Times New Roman" w:hAnsi="Times New Roman" w:cs="Times New Roman"/>
                <w:kern w:val="0"/>
                <w:lang w:eastAsia="en-GB"/>
                <w14:ligatures w14:val="none"/>
              </w:rPr>
              <w:t>Measures price deviation from statistical mean to identify trend reversals</w:t>
            </w:r>
          </w:p>
        </w:tc>
      </w:tr>
      <w:tr w:rsidR="00ED061C" w:rsidRPr="00ED061C" w14:paraId="75889E93" w14:textId="77777777" w:rsidTr="00ED061C">
        <w:trPr>
          <w:tblCellSpacing w:w="15" w:type="dxa"/>
        </w:trPr>
        <w:tc>
          <w:tcPr>
            <w:tcW w:w="0" w:type="auto"/>
            <w:vAlign w:val="center"/>
            <w:hideMark/>
          </w:tcPr>
          <w:p w14:paraId="7F370C5E" w14:textId="77777777" w:rsidR="00ED061C" w:rsidRPr="00ED061C" w:rsidRDefault="00ED061C" w:rsidP="00ED061C">
            <w:pPr>
              <w:spacing w:after="0" w:line="240" w:lineRule="auto"/>
              <w:rPr>
                <w:rFonts w:ascii="Times New Roman" w:eastAsia="Times New Roman" w:hAnsi="Times New Roman" w:cs="Times New Roman"/>
                <w:kern w:val="0"/>
                <w:lang w:eastAsia="en-GB"/>
                <w14:ligatures w14:val="none"/>
              </w:rPr>
            </w:pPr>
            <w:r w:rsidRPr="00ED061C">
              <w:rPr>
                <w:rFonts w:ascii="Times New Roman" w:eastAsia="Times New Roman" w:hAnsi="Times New Roman" w:cs="Times New Roman"/>
                <w:b/>
                <w:bCs/>
                <w:kern w:val="0"/>
                <w:lang w:eastAsia="en-GB"/>
                <w14:ligatures w14:val="none"/>
              </w:rPr>
              <w:t>DX_30</w:t>
            </w:r>
          </w:p>
        </w:tc>
        <w:tc>
          <w:tcPr>
            <w:tcW w:w="0" w:type="auto"/>
            <w:vAlign w:val="center"/>
            <w:hideMark/>
          </w:tcPr>
          <w:p w14:paraId="7DE28155" w14:textId="77777777" w:rsidR="00ED061C" w:rsidRPr="00ED061C" w:rsidRDefault="00ED061C" w:rsidP="00ED061C">
            <w:pPr>
              <w:spacing w:after="0" w:line="240" w:lineRule="auto"/>
              <w:rPr>
                <w:rFonts w:ascii="Times New Roman" w:eastAsia="Times New Roman" w:hAnsi="Times New Roman" w:cs="Times New Roman"/>
                <w:kern w:val="0"/>
                <w:lang w:eastAsia="en-GB"/>
                <w14:ligatures w14:val="none"/>
              </w:rPr>
            </w:pPr>
            <w:r w:rsidRPr="00ED061C">
              <w:rPr>
                <w:rFonts w:ascii="Times New Roman" w:eastAsia="Times New Roman" w:hAnsi="Times New Roman" w:cs="Times New Roman"/>
                <w:kern w:val="0"/>
                <w:lang w:eastAsia="en-GB"/>
                <w14:ligatures w14:val="none"/>
              </w:rPr>
              <w:t>Measures the strength of a trend and identifies directional movement</w:t>
            </w:r>
          </w:p>
        </w:tc>
      </w:tr>
      <w:tr w:rsidR="00ED061C" w:rsidRPr="00ED061C" w14:paraId="09B3BBF1" w14:textId="77777777" w:rsidTr="00ED061C">
        <w:trPr>
          <w:tblCellSpacing w:w="15" w:type="dxa"/>
        </w:trPr>
        <w:tc>
          <w:tcPr>
            <w:tcW w:w="0" w:type="auto"/>
            <w:vAlign w:val="center"/>
            <w:hideMark/>
          </w:tcPr>
          <w:p w14:paraId="1538619E" w14:textId="77777777" w:rsidR="00ED061C" w:rsidRPr="00ED061C" w:rsidRDefault="00ED061C" w:rsidP="00ED061C">
            <w:pPr>
              <w:spacing w:after="0" w:line="240" w:lineRule="auto"/>
              <w:rPr>
                <w:rFonts w:ascii="Times New Roman" w:eastAsia="Times New Roman" w:hAnsi="Times New Roman" w:cs="Times New Roman"/>
                <w:kern w:val="0"/>
                <w:lang w:eastAsia="en-GB"/>
                <w14:ligatures w14:val="none"/>
              </w:rPr>
            </w:pPr>
            <w:r w:rsidRPr="00ED061C">
              <w:rPr>
                <w:rFonts w:ascii="Times New Roman" w:eastAsia="Times New Roman" w:hAnsi="Times New Roman" w:cs="Times New Roman"/>
                <w:b/>
                <w:bCs/>
                <w:kern w:val="0"/>
                <w:lang w:eastAsia="en-GB"/>
                <w14:ligatures w14:val="none"/>
              </w:rPr>
              <w:t>Close 30 SMA (close_30_sma)</w:t>
            </w:r>
          </w:p>
        </w:tc>
        <w:tc>
          <w:tcPr>
            <w:tcW w:w="0" w:type="auto"/>
            <w:vAlign w:val="center"/>
            <w:hideMark/>
          </w:tcPr>
          <w:p w14:paraId="2F05B9C0" w14:textId="77777777" w:rsidR="00ED061C" w:rsidRPr="00ED061C" w:rsidRDefault="00ED061C" w:rsidP="00ED061C">
            <w:pPr>
              <w:spacing w:after="0" w:line="240" w:lineRule="auto"/>
              <w:rPr>
                <w:rFonts w:ascii="Times New Roman" w:eastAsia="Times New Roman" w:hAnsi="Times New Roman" w:cs="Times New Roman"/>
                <w:kern w:val="0"/>
                <w:lang w:eastAsia="en-GB"/>
                <w14:ligatures w14:val="none"/>
              </w:rPr>
            </w:pPr>
            <w:r w:rsidRPr="00ED061C">
              <w:rPr>
                <w:rFonts w:ascii="Times New Roman" w:eastAsia="Times New Roman" w:hAnsi="Times New Roman" w:cs="Times New Roman"/>
                <w:kern w:val="0"/>
                <w:lang w:eastAsia="en-GB"/>
                <w14:ligatures w14:val="none"/>
              </w:rPr>
              <w:t>Identifies short-term price trends and smoothens volatility</w:t>
            </w:r>
          </w:p>
        </w:tc>
      </w:tr>
      <w:tr w:rsidR="00ED061C" w:rsidRPr="00ED061C" w14:paraId="142847D8" w14:textId="77777777" w:rsidTr="00ED061C">
        <w:trPr>
          <w:tblCellSpacing w:w="15" w:type="dxa"/>
        </w:trPr>
        <w:tc>
          <w:tcPr>
            <w:tcW w:w="0" w:type="auto"/>
            <w:vAlign w:val="center"/>
            <w:hideMark/>
          </w:tcPr>
          <w:p w14:paraId="4F3DC113" w14:textId="77777777" w:rsidR="00ED061C" w:rsidRPr="00ED061C" w:rsidRDefault="00ED061C" w:rsidP="00ED061C">
            <w:pPr>
              <w:spacing w:after="0" w:line="240" w:lineRule="auto"/>
              <w:rPr>
                <w:rFonts w:ascii="Times New Roman" w:eastAsia="Times New Roman" w:hAnsi="Times New Roman" w:cs="Times New Roman"/>
                <w:kern w:val="0"/>
                <w:lang w:eastAsia="en-GB"/>
                <w14:ligatures w14:val="none"/>
              </w:rPr>
            </w:pPr>
            <w:r w:rsidRPr="00ED061C">
              <w:rPr>
                <w:rFonts w:ascii="Times New Roman" w:eastAsia="Times New Roman" w:hAnsi="Times New Roman" w:cs="Times New Roman"/>
                <w:b/>
                <w:bCs/>
                <w:kern w:val="0"/>
                <w:lang w:eastAsia="en-GB"/>
                <w14:ligatures w14:val="none"/>
              </w:rPr>
              <w:t>Close 60 SMA (close_60_sma)</w:t>
            </w:r>
          </w:p>
        </w:tc>
        <w:tc>
          <w:tcPr>
            <w:tcW w:w="0" w:type="auto"/>
            <w:vAlign w:val="center"/>
            <w:hideMark/>
          </w:tcPr>
          <w:p w14:paraId="0F24DC68" w14:textId="77777777" w:rsidR="00ED061C" w:rsidRPr="00ED061C" w:rsidRDefault="00ED061C" w:rsidP="00ED061C">
            <w:pPr>
              <w:spacing w:after="0" w:line="240" w:lineRule="auto"/>
              <w:rPr>
                <w:rFonts w:ascii="Times New Roman" w:eastAsia="Times New Roman" w:hAnsi="Times New Roman" w:cs="Times New Roman"/>
                <w:kern w:val="0"/>
                <w:lang w:eastAsia="en-GB"/>
                <w14:ligatures w14:val="none"/>
              </w:rPr>
            </w:pPr>
            <w:r w:rsidRPr="00ED061C">
              <w:rPr>
                <w:rFonts w:ascii="Times New Roman" w:eastAsia="Times New Roman" w:hAnsi="Times New Roman" w:cs="Times New Roman"/>
                <w:kern w:val="0"/>
                <w:lang w:eastAsia="en-GB"/>
                <w14:ligatures w14:val="none"/>
              </w:rPr>
              <w:t>Identifies medium-term price trends for more stable predictions</w:t>
            </w:r>
          </w:p>
        </w:tc>
      </w:tr>
    </w:tbl>
    <w:p w14:paraId="6858D693" w14:textId="77777777" w:rsidR="00ED061C" w:rsidRPr="003C6A2D" w:rsidRDefault="00ED061C" w:rsidP="00ED061C">
      <w:pPr>
        <w:spacing w:before="100" w:beforeAutospacing="1" w:after="100" w:afterAutospacing="1" w:line="240" w:lineRule="auto"/>
        <w:outlineLvl w:val="2"/>
        <w:rPr>
          <w:rFonts w:ascii="Times New Roman" w:eastAsia="Times New Roman" w:hAnsi="Times New Roman" w:cs="Times New Roman"/>
          <w:b/>
          <w:bCs/>
          <w:kern w:val="0"/>
          <w:sz w:val="28"/>
          <w:szCs w:val="28"/>
          <w:lang w:eastAsia="en-GB"/>
          <w14:ligatures w14:val="none"/>
        </w:rPr>
      </w:pPr>
      <w:r w:rsidRPr="003C6A2D">
        <w:rPr>
          <w:rFonts w:ascii="Times New Roman" w:eastAsia="Times New Roman" w:hAnsi="Times New Roman" w:cs="Times New Roman"/>
          <w:b/>
          <w:bCs/>
          <w:kern w:val="0"/>
          <w:sz w:val="28"/>
          <w:szCs w:val="28"/>
          <w:lang w:eastAsia="en-GB"/>
          <w14:ligatures w14:val="none"/>
        </w:rPr>
        <w:t xml:space="preserve">4. How </w:t>
      </w:r>
      <w:proofErr w:type="spellStart"/>
      <w:r w:rsidRPr="003C6A2D">
        <w:rPr>
          <w:rFonts w:ascii="Times New Roman" w:eastAsia="Times New Roman" w:hAnsi="Times New Roman" w:cs="Times New Roman"/>
          <w:b/>
          <w:bCs/>
          <w:kern w:val="0"/>
          <w:sz w:val="28"/>
          <w:szCs w:val="28"/>
          <w:lang w:eastAsia="en-GB"/>
          <w14:ligatures w14:val="none"/>
        </w:rPr>
        <w:t>FinRL</w:t>
      </w:r>
      <w:proofErr w:type="spellEnd"/>
      <w:r w:rsidRPr="003C6A2D">
        <w:rPr>
          <w:rFonts w:ascii="Times New Roman" w:eastAsia="Times New Roman" w:hAnsi="Times New Roman" w:cs="Times New Roman"/>
          <w:b/>
          <w:bCs/>
          <w:kern w:val="0"/>
          <w:sz w:val="28"/>
          <w:szCs w:val="28"/>
          <w:lang w:eastAsia="en-GB"/>
          <w14:ligatures w14:val="none"/>
        </w:rPr>
        <w:t xml:space="preserve"> Uses Technical Indicators for Portfolio Allocation</w:t>
      </w:r>
    </w:p>
    <w:p w14:paraId="332CAC94" w14:textId="77777777" w:rsidR="00ED061C" w:rsidRPr="003C6A2D" w:rsidRDefault="00ED061C" w:rsidP="003C6A2D">
      <w:pPr>
        <w:spacing w:before="100" w:beforeAutospacing="1" w:after="100" w:afterAutospacing="1" w:line="240" w:lineRule="auto"/>
        <w:ind w:left="360"/>
        <w:outlineLvl w:val="3"/>
        <w:rPr>
          <w:rFonts w:ascii="Times New Roman" w:eastAsia="Times New Roman" w:hAnsi="Times New Roman" w:cs="Times New Roman"/>
          <w:b/>
          <w:bCs/>
          <w:i/>
          <w:iCs/>
          <w:kern w:val="0"/>
          <w:lang w:eastAsia="en-GB"/>
          <w14:ligatures w14:val="none"/>
        </w:rPr>
      </w:pPr>
      <w:r w:rsidRPr="003C6A2D">
        <w:rPr>
          <w:rFonts w:ascii="Times New Roman" w:eastAsia="Times New Roman" w:hAnsi="Times New Roman" w:cs="Times New Roman"/>
          <w:b/>
          <w:bCs/>
          <w:i/>
          <w:iCs/>
          <w:kern w:val="0"/>
          <w:lang w:eastAsia="en-GB"/>
          <w14:ligatures w14:val="none"/>
        </w:rPr>
        <w:t>4.1 Feature Engineering</w:t>
      </w:r>
    </w:p>
    <w:p w14:paraId="53E5882D" w14:textId="77777777" w:rsidR="00ED061C" w:rsidRPr="00ED061C" w:rsidRDefault="00ED061C" w:rsidP="00ED061C">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ED061C">
        <w:rPr>
          <w:rFonts w:ascii="Times New Roman" w:eastAsia="Times New Roman" w:hAnsi="Times New Roman" w:cs="Times New Roman"/>
          <w:kern w:val="0"/>
          <w:lang w:eastAsia="en-GB"/>
          <w14:ligatures w14:val="none"/>
        </w:rPr>
        <w:t>FinRL</w:t>
      </w:r>
      <w:proofErr w:type="spellEnd"/>
      <w:r w:rsidRPr="00ED061C">
        <w:rPr>
          <w:rFonts w:ascii="Times New Roman" w:eastAsia="Times New Roman" w:hAnsi="Times New Roman" w:cs="Times New Roman"/>
          <w:kern w:val="0"/>
          <w:lang w:eastAsia="en-GB"/>
          <w14:ligatures w14:val="none"/>
        </w:rPr>
        <w:t xml:space="preserve"> extracts technical indicators from historical price data and converts them into state-space representations for RL agents.</w:t>
      </w:r>
    </w:p>
    <w:p w14:paraId="27A5FB18" w14:textId="77777777" w:rsidR="00ED061C" w:rsidRPr="003C6A2D" w:rsidRDefault="00ED061C" w:rsidP="003C6A2D">
      <w:pPr>
        <w:spacing w:before="100" w:beforeAutospacing="1" w:after="100" w:afterAutospacing="1" w:line="240" w:lineRule="auto"/>
        <w:ind w:left="360"/>
        <w:outlineLvl w:val="3"/>
        <w:rPr>
          <w:rFonts w:ascii="Times New Roman" w:eastAsia="Times New Roman" w:hAnsi="Times New Roman" w:cs="Times New Roman"/>
          <w:b/>
          <w:bCs/>
          <w:i/>
          <w:iCs/>
          <w:kern w:val="0"/>
          <w:lang w:eastAsia="en-GB"/>
          <w14:ligatures w14:val="none"/>
        </w:rPr>
      </w:pPr>
      <w:r w:rsidRPr="003C6A2D">
        <w:rPr>
          <w:rFonts w:ascii="Times New Roman" w:eastAsia="Times New Roman" w:hAnsi="Times New Roman" w:cs="Times New Roman"/>
          <w:b/>
          <w:bCs/>
          <w:i/>
          <w:iCs/>
          <w:kern w:val="0"/>
          <w:lang w:eastAsia="en-GB"/>
          <w14:ligatures w14:val="none"/>
        </w:rPr>
        <w:t>4.2 State Representation in RL</w:t>
      </w:r>
    </w:p>
    <w:p w14:paraId="259E8BE8" w14:textId="77777777" w:rsidR="00ED061C" w:rsidRPr="00ED061C" w:rsidRDefault="00ED061C" w:rsidP="00ED061C">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61C">
        <w:rPr>
          <w:rFonts w:ascii="Times New Roman" w:eastAsia="Times New Roman" w:hAnsi="Times New Roman" w:cs="Times New Roman"/>
          <w:kern w:val="0"/>
          <w:lang w:eastAsia="en-GB"/>
          <w14:ligatures w14:val="none"/>
        </w:rPr>
        <w:t>The agent learns market dynamics using technical indicators as features to determine the best asset allocation strategy.</w:t>
      </w:r>
    </w:p>
    <w:p w14:paraId="4E6A01FF" w14:textId="77777777" w:rsidR="00ED061C" w:rsidRPr="003C6A2D" w:rsidRDefault="00ED061C" w:rsidP="003C6A2D">
      <w:pPr>
        <w:spacing w:before="100" w:beforeAutospacing="1" w:after="100" w:afterAutospacing="1" w:line="240" w:lineRule="auto"/>
        <w:ind w:left="360"/>
        <w:outlineLvl w:val="3"/>
        <w:rPr>
          <w:rFonts w:ascii="Times New Roman" w:eastAsia="Times New Roman" w:hAnsi="Times New Roman" w:cs="Times New Roman"/>
          <w:b/>
          <w:bCs/>
          <w:i/>
          <w:iCs/>
          <w:kern w:val="0"/>
          <w:lang w:eastAsia="en-GB"/>
          <w14:ligatures w14:val="none"/>
        </w:rPr>
      </w:pPr>
      <w:r w:rsidRPr="003C6A2D">
        <w:rPr>
          <w:rFonts w:ascii="Times New Roman" w:eastAsia="Times New Roman" w:hAnsi="Times New Roman" w:cs="Times New Roman"/>
          <w:b/>
          <w:bCs/>
          <w:i/>
          <w:iCs/>
          <w:kern w:val="0"/>
          <w:lang w:eastAsia="en-GB"/>
          <w14:ligatures w14:val="none"/>
        </w:rPr>
        <w:t>4.3 Action Selection (Portfolio Weights)</w:t>
      </w:r>
    </w:p>
    <w:p w14:paraId="53DB6EC0" w14:textId="77777777" w:rsidR="00ED061C" w:rsidRPr="00ED061C" w:rsidRDefault="00ED061C" w:rsidP="00ED061C">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61C">
        <w:rPr>
          <w:rFonts w:ascii="Times New Roman" w:eastAsia="Times New Roman" w:hAnsi="Times New Roman" w:cs="Times New Roman"/>
          <w:kern w:val="0"/>
          <w:lang w:eastAsia="en-GB"/>
          <w14:ligatures w14:val="none"/>
        </w:rPr>
        <w:t>Based on the indicators, the RL agent determines whether to allocate, hold, or rebalance assets in the portfolio.</w:t>
      </w:r>
    </w:p>
    <w:p w14:paraId="243490CC" w14:textId="77777777" w:rsidR="00ED061C" w:rsidRPr="003C6A2D" w:rsidRDefault="00ED061C" w:rsidP="003C6A2D">
      <w:pPr>
        <w:spacing w:before="100" w:beforeAutospacing="1" w:after="100" w:afterAutospacing="1" w:line="240" w:lineRule="auto"/>
        <w:ind w:left="360"/>
        <w:outlineLvl w:val="3"/>
        <w:rPr>
          <w:rFonts w:ascii="Times New Roman" w:eastAsia="Times New Roman" w:hAnsi="Times New Roman" w:cs="Times New Roman"/>
          <w:b/>
          <w:bCs/>
          <w:i/>
          <w:iCs/>
          <w:kern w:val="0"/>
          <w:lang w:eastAsia="en-GB"/>
          <w14:ligatures w14:val="none"/>
        </w:rPr>
      </w:pPr>
      <w:r w:rsidRPr="003C6A2D">
        <w:rPr>
          <w:rFonts w:ascii="Times New Roman" w:eastAsia="Times New Roman" w:hAnsi="Times New Roman" w:cs="Times New Roman"/>
          <w:b/>
          <w:bCs/>
          <w:i/>
          <w:iCs/>
          <w:kern w:val="0"/>
          <w:lang w:eastAsia="en-GB"/>
          <w14:ligatures w14:val="none"/>
        </w:rPr>
        <w:t>4.4 Risk Management and Reward Maximization</w:t>
      </w:r>
    </w:p>
    <w:p w14:paraId="0FA39BCF" w14:textId="77777777" w:rsidR="00ED061C" w:rsidRPr="00ED061C" w:rsidRDefault="00ED061C" w:rsidP="00ED061C">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61C">
        <w:rPr>
          <w:rFonts w:ascii="Times New Roman" w:eastAsia="Times New Roman" w:hAnsi="Times New Roman" w:cs="Times New Roman"/>
          <w:kern w:val="0"/>
          <w:lang w:eastAsia="en-GB"/>
          <w14:ligatures w14:val="none"/>
        </w:rPr>
        <w:t>The model considers risk-adjusted reward metrics and uses indicators to mitigate losses during high volatility periods.</w:t>
      </w:r>
    </w:p>
    <w:p w14:paraId="129D026F" w14:textId="77777777" w:rsidR="00ED061C" w:rsidRPr="003C6A2D" w:rsidRDefault="00ED061C" w:rsidP="00ED061C">
      <w:pPr>
        <w:spacing w:before="100" w:beforeAutospacing="1" w:after="100" w:afterAutospacing="1" w:line="240" w:lineRule="auto"/>
        <w:outlineLvl w:val="2"/>
        <w:rPr>
          <w:rFonts w:ascii="Times New Roman" w:eastAsia="Times New Roman" w:hAnsi="Times New Roman" w:cs="Times New Roman"/>
          <w:b/>
          <w:bCs/>
          <w:kern w:val="0"/>
          <w:sz w:val="28"/>
          <w:szCs w:val="28"/>
          <w:lang w:eastAsia="en-GB"/>
          <w14:ligatures w14:val="none"/>
        </w:rPr>
      </w:pPr>
      <w:r w:rsidRPr="003C6A2D">
        <w:rPr>
          <w:rFonts w:ascii="Times New Roman" w:eastAsia="Times New Roman" w:hAnsi="Times New Roman" w:cs="Times New Roman"/>
          <w:b/>
          <w:bCs/>
          <w:kern w:val="0"/>
          <w:sz w:val="28"/>
          <w:szCs w:val="28"/>
          <w:lang w:eastAsia="en-GB"/>
          <w14:ligatures w14:val="none"/>
        </w:rPr>
        <w:lastRenderedPageBreak/>
        <w:t>5. Conclusion</w:t>
      </w:r>
    </w:p>
    <w:p w14:paraId="2C731293" w14:textId="77777777" w:rsidR="00ED061C" w:rsidRPr="00ED061C" w:rsidRDefault="00ED061C" w:rsidP="00ED061C">
      <w:pPr>
        <w:spacing w:before="100" w:beforeAutospacing="1" w:after="100" w:afterAutospacing="1" w:line="240" w:lineRule="auto"/>
        <w:rPr>
          <w:rFonts w:ascii="Times New Roman" w:eastAsia="Times New Roman" w:hAnsi="Times New Roman" w:cs="Times New Roman"/>
          <w:kern w:val="0"/>
          <w:lang w:eastAsia="en-GB"/>
          <w14:ligatures w14:val="none"/>
        </w:rPr>
      </w:pPr>
      <w:r w:rsidRPr="00ED061C">
        <w:rPr>
          <w:rFonts w:ascii="Times New Roman" w:eastAsia="Times New Roman" w:hAnsi="Times New Roman" w:cs="Times New Roman"/>
          <w:kern w:val="0"/>
          <w:lang w:eastAsia="en-GB"/>
          <w14:ligatures w14:val="none"/>
        </w:rPr>
        <w:t xml:space="preserve">Technical indicators provide valuable insights that help </w:t>
      </w:r>
      <w:proofErr w:type="spellStart"/>
      <w:r w:rsidRPr="00ED061C">
        <w:rPr>
          <w:rFonts w:ascii="Times New Roman" w:eastAsia="Times New Roman" w:hAnsi="Times New Roman" w:cs="Times New Roman"/>
          <w:kern w:val="0"/>
          <w:lang w:eastAsia="en-GB"/>
          <w14:ligatures w14:val="none"/>
        </w:rPr>
        <w:t>FinRL</w:t>
      </w:r>
      <w:proofErr w:type="spellEnd"/>
      <w:r w:rsidRPr="00ED061C">
        <w:rPr>
          <w:rFonts w:ascii="Times New Roman" w:eastAsia="Times New Roman" w:hAnsi="Times New Roman" w:cs="Times New Roman"/>
          <w:kern w:val="0"/>
          <w:lang w:eastAsia="en-GB"/>
          <w14:ligatures w14:val="none"/>
        </w:rPr>
        <w:t xml:space="preserve"> models make intelligent portfolio allocation decisions. They enable the RL agent to adapt to changing market conditions, optimize returns, and manage risk efficiently. By integrating reinforcement learning with technical indicators, financial models can achieve data-driven, adaptive portfolio management that enhances decision-making and profitability.</w:t>
      </w:r>
    </w:p>
    <w:p w14:paraId="559C585C" w14:textId="77777777" w:rsidR="00ED061C" w:rsidRPr="003C6A2D" w:rsidRDefault="00ED061C" w:rsidP="00ED061C">
      <w:pPr>
        <w:spacing w:before="100" w:beforeAutospacing="1" w:after="100" w:afterAutospacing="1" w:line="240" w:lineRule="auto"/>
        <w:outlineLvl w:val="2"/>
        <w:rPr>
          <w:rFonts w:ascii="Times New Roman" w:eastAsia="Times New Roman" w:hAnsi="Times New Roman" w:cs="Times New Roman"/>
          <w:b/>
          <w:bCs/>
          <w:kern w:val="0"/>
          <w:sz w:val="28"/>
          <w:szCs w:val="28"/>
          <w:lang w:eastAsia="en-GB"/>
          <w14:ligatures w14:val="none"/>
        </w:rPr>
      </w:pPr>
      <w:r w:rsidRPr="003C6A2D">
        <w:rPr>
          <w:rFonts w:ascii="Times New Roman" w:eastAsia="Times New Roman" w:hAnsi="Times New Roman" w:cs="Times New Roman"/>
          <w:b/>
          <w:bCs/>
          <w:kern w:val="0"/>
          <w:sz w:val="28"/>
          <w:szCs w:val="28"/>
          <w:lang w:eastAsia="en-GB"/>
          <w14:ligatures w14:val="none"/>
        </w:rPr>
        <w:t>6. Future Scope</w:t>
      </w:r>
    </w:p>
    <w:p w14:paraId="69F69BC8" w14:textId="77777777" w:rsidR="00ED061C" w:rsidRPr="00ED061C" w:rsidRDefault="00ED061C" w:rsidP="00ED061C">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61C">
        <w:rPr>
          <w:rFonts w:ascii="Times New Roman" w:eastAsia="Times New Roman" w:hAnsi="Times New Roman" w:cs="Times New Roman"/>
          <w:kern w:val="0"/>
          <w:lang w:eastAsia="en-GB"/>
          <w14:ligatures w14:val="none"/>
        </w:rPr>
        <w:t>Exploring the combination of fundamental and technical indicators.</w:t>
      </w:r>
    </w:p>
    <w:p w14:paraId="34C34A1B" w14:textId="77777777" w:rsidR="00ED061C" w:rsidRPr="00ED061C" w:rsidRDefault="00ED061C" w:rsidP="00ED061C">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61C">
        <w:rPr>
          <w:rFonts w:ascii="Times New Roman" w:eastAsia="Times New Roman" w:hAnsi="Times New Roman" w:cs="Times New Roman"/>
          <w:kern w:val="0"/>
          <w:lang w:eastAsia="en-GB"/>
          <w14:ligatures w14:val="none"/>
        </w:rPr>
        <w:t xml:space="preserve">Improving </w:t>
      </w:r>
      <w:proofErr w:type="spellStart"/>
      <w:r w:rsidRPr="00ED061C">
        <w:rPr>
          <w:rFonts w:ascii="Times New Roman" w:eastAsia="Times New Roman" w:hAnsi="Times New Roman" w:cs="Times New Roman"/>
          <w:kern w:val="0"/>
          <w:lang w:eastAsia="en-GB"/>
          <w14:ligatures w14:val="none"/>
        </w:rPr>
        <w:t>FinRL</w:t>
      </w:r>
      <w:proofErr w:type="spellEnd"/>
      <w:r w:rsidRPr="00ED061C">
        <w:rPr>
          <w:rFonts w:ascii="Times New Roman" w:eastAsia="Times New Roman" w:hAnsi="Times New Roman" w:cs="Times New Roman"/>
          <w:kern w:val="0"/>
          <w:lang w:eastAsia="en-GB"/>
          <w14:ligatures w14:val="none"/>
        </w:rPr>
        <w:t xml:space="preserve"> models using advanced deep reinforcement learning techniques.</w:t>
      </w:r>
    </w:p>
    <w:p w14:paraId="42FED0B7" w14:textId="77777777" w:rsidR="00ED061C" w:rsidRPr="00ED061C" w:rsidRDefault="00ED061C" w:rsidP="00ED061C">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D061C">
        <w:rPr>
          <w:rFonts w:ascii="Times New Roman" w:eastAsia="Times New Roman" w:hAnsi="Times New Roman" w:cs="Times New Roman"/>
          <w:kern w:val="0"/>
          <w:lang w:eastAsia="en-GB"/>
          <w14:ligatures w14:val="none"/>
        </w:rPr>
        <w:t xml:space="preserve">Automating real-time portfolio adjustments using </w:t>
      </w:r>
      <w:proofErr w:type="spellStart"/>
      <w:r w:rsidRPr="00ED061C">
        <w:rPr>
          <w:rFonts w:ascii="Times New Roman" w:eastAsia="Times New Roman" w:hAnsi="Times New Roman" w:cs="Times New Roman"/>
          <w:kern w:val="0"/>
          <w:lang w:eastAsia="en-GB"/>
          <w14:ligatures w14:val="none"/>
        </w:rPr>
        <w:t>FinRL</w:t>
      </w:r>
      <w:proofErr w:type="spellEnd"/>
      <w:r w:rsidRPr="00ED061C">
        <w:rPr>
          <w:rFonts w:ascii="Times New Roman" w:eastAsia="Times New Roman" w:hAnsi="Times New Roman" w:cs="Times New Roman"/>
          <w:kern w:val="0"/>
          <w:lang w:eastAsia="en-GB"/>
          <w14:ligatures w14:val="none"/>
        </w:rPr>
        <w:t>-powered AI agents.</w:t>
      </w:r>
    </w:p>
    <w:p w14:paraId="6BC116A1" w14:textId="77777777" w:rsidR="00F9313A" w:rsidRDefault="00F9313A"/>
    <w:sectPr w:rsidR="00F931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63EC"/>
    <w:multiLevelType w:val="multilevel"/>
    <w:tmpl w:val="3BA6A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ED0198"/>
    <w:multiLevelType w:val="multilevel"/>
    <w:tmpl w:val="91DAF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A74E85"/>
    <w:multiLevelType w:val="multilevel"/>
    <w:tmpl w:val="06427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B80047"/>
    <w:multiLevelType w:val="multilevel"/>
    <w:tmpl w:val="7F464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123B63"/>
    <w:multiLevelType w:val="multilevel"/>
    <w:tmpl w:val="ED509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3D3FDA"/>
    <w:multiLevelType w:val="multilevel"/>
    <w:tmpl w:val="C430F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625716"/>
    <w:multiLevelType w:val="multilevel"/>
    <w:tmpl w:val="5E869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61230A"/>
    <w:multiLevelType w:val="multilevel"/>
    <w:tmpl w:val="DAB03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450130"/>
    <w:multiLevelType w:val="multilevel"/>
    <w:tmpl w:val="5BDA2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4E799D"/>
    <w:multiLevelType w:val="multilevel"/>
    <w:tmpl w:val="99E8F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5841990">
    <w:abstractNumId w:val="3"/>
  </w:num>
  <w:num w:numId="2" w16cid:durableId="1902666031">
    <w:abstractNumId w:val="7"/>
  </w:num>
  <w:num w:numId="3" w16cid:durableId="492835715">
    <w:abstractNumId w:val="0"/>
  </w:num>
  <w:num w:numId="4" w16cid:durableId="2072382643">
    <w:abstractNumId w:val="2"/>
  </w:num>
  <w:num w:numId="5" w16cid:durableId="1133207332">
    <w:abstractNumId w:val="8"/>
  </w:num>
  <w:num w:numId="6" w16cid:durableId="1251356562">
    <w:abstractNumId w:val="6"/>
  </w:num>
  <w:num w:numId="7" w16cid:durableId="13121751">
    <w:abstractNumId w:val="4"/>
  </w:num>
  <w:num w:numId="8" w16cid:durableId="81099958">
    <w:abstractNumId w:val="5"/>
  </w:num>
  <w:num w:numId="9" w16cid:durableId="1849981989">
    <w:abstractNumId w:val="1"/>
  </w:num>
  <w:num w:numId="10" w16cid:durableId="130616105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61C"/>
    <w:rsid w:val="00174CC7"/>
    <w:rsid w:val="00350108"/>
    <w:rsid w:val="003C6A2D"/>
    <w:rsid w:val="00913A50"/>
    <w:rsid w:val="00C84524"/>
    <w:rsid w:val="00EC0A8B"/>
    <w:rsid w:val="00ED061C"/>
    <w:rsid w:val="00F9313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747AF"/>
  <w15:chartTrackingRefBased/>
  <w15:docId w15:val="{80BEF085-3D32-4AD6-AB6F-6DA85A64A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4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06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06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06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06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06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06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06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06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06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06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06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06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06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06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06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06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06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061C"/>
    <w:rPr>
      <w:rFonts w:eastAsiaTheme="majorEastAsia" w:cstheme="majorBidi"/>
      <w:color w:val="272727" w:themeColor="text1" w:themeTint="D8"/>
    </w:rPr>
  </w:style>
  <w:style w:type="paragraph" w:styleId="Title">
    <w:name w:val="Title"/>
    <w:basedOn w:val="Normal"/>
    <w:next w:val="Normal"/>
    <w:link w:val="TitleChar"/>
    <w:uiPriority w:val="10"/>
    <w:qFormat/>
    <w:rsid w:val="00ED06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06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06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06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061C"/>
    <w:pPr>
      <w:spacing w:before="160"/>
      <w:jc w:val="center"/>
    </w:pPr>
    <w:rPr>
      <w:i/>
      <w:iCs/>
      <w:color w:val="404040" w:themeColor="text1" w:themeTint="BF"/>
    </w:rPr>
  </w:style>
  <w:style w:type="character" w:customStyle="1" w:styleId="QuoteChar">
    <w:name w:val="Quote Char"/>
    <w:basedOn w:val="DefaultParagraphFont"/>
    <w:link w:val="Quote"/>
    <w:uiPriority w:val="29"/>
    <w:rsid w:val="00ED061C"/>
    <w:rPr>
      <w:i/>
      <w:iCs/>
      <w:color w:val="404040" w:themeColor="text1" w:themeTint="BF"/>
    </w:rPr>
  </w:style>
  <w:style w:type="paragraph" w:styleId="ListParagraph">
    <w:name w:val="List Paragraph"/>
    <w:basedOn w:val="Normal"/>
    <w:uiPriority w:val="34"/>
    <w:qFormat/>
    <w:rsid w:val="00ED061C"/>
    <w:pPr>
      <w:ind w:left="720"/>
      <w:contextualSpacing/>
    </w:pPr>
  </w:style>
  <w:style w:type="character" w:styleId="IntenseEmphasis">
    <w:name w:val="Intense Emphasis"/>
    <w:basedOn w:val="DefaultParagraphFont"/>
    <w:uiPriority w:val="21"/>
    <w:qFormat/>
    <w:rsid w:val="00ED061C"/>
    <w:rPr>
      <w:i/>
      <w:iCs/>
      <w:color w:val="0F4761" w:themeColor="accent1" w:themeShade="BF"/>
    </w:rPr>
  </w:style>
  <w:style w:type="paragraph" w:styleId="IntenseQuote">
    <w:name w:val="Intense Quote"/>
    <w:basedOn w:val="Normal"/>
    <w:next w:val="Normal"/>
    <w:link w:val="IntenseQuoteChar"/>
    <w:uiPriority w:val="30"/>
    <w:qFormat/>
    <w:rsid w:val="00ED06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061C"/>
    <w:rPr>
      <w:i/>
      <w:iCs/>
      <w:color w:val="0F4761" w:themeColor="accent1" w:themeShade="BF"/>
    </w:rPr>
  </w:style>
  <w:style w:type="character" w:styleId="IntenseReference">
    <w:name w:val="Intense Reference"/>
    <w:basedOn w:val="DefaultParagraphFont"/>
    <w:uiPriority w:val="32"/>
    <w:qFormat/>
    <w:rsid w:val="00ED06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2788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666</Words>
  <Characters>3802</Characters>
  <Application>Microsoft Office Word</Application>
  <DocSecurity>0</DocSecurity>
  <Lines>31</Lines>
  <Paragraphs>8</Paragraphs>
  <ScaleCrop>false</ScaleCrop>
  <Company/>
  <LinksUpToDate>false</LinksUpToDate>
  <CharactersWithSpaces>4460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 Chathananickal Sajeevan</dc:creator>
  <cp:keywords/>
  <dc:description/>
  <cp:lastModifiedBy>Jeffin Kochurani Ravi</cp:lastModifiedBy>
  <cp:revision>2</cp:revision>
  <cp:lastPrinted>2025-02-18T02:47:00Z</cp:lastPrinted>
  <dcterms:created xsi:type="dcterms:W3CDTF">2025-02-18T02:43:00Z</dcterms:created>
  <dcterms:modified xsi:type="dcterms:W3CDTF">2025-02-18T04:19:00Z</dcterms:modified>
</cp:coreProperties>
</file>