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A76F" w14:textId="77777777" w:rsidR="00097691" w:rsidRDefault="00097691" w:rsidP="00114739">
      <w:pPr>
        <w:jc w:val="both"/>
        <w:rPr>
          <w:rFonts w:ascii="Times New Roman" w:hAnsi="Times New Roman"/>
          <w:b/>
          <w:bCs/>
          <w:sz w:val="36"/>
          <w:lang w:val="en-US"/>
        </w:rPr>
      </w:pPr>
    </w:p>
    <w:p w14:paraId="7CFBEDA2" w14:textId="77777777" w:rsidR="00097691" w:rsidRDefault="00097691" w:rsidP="00114739">
      <w:pPr>
        <w:jc w:val="both"/>
        <w:rPr>
          <w:rFonts w:ascii="Times New Roman" w:hAnsi="Times New Roman"/>
          <w:b/>
          <w:bCs/>
          <w:sz w:val="36"/>
          <w:lang w:val="en-US"/>
        </w:rPr>
      </w:pPr>
    </w:p>
    <w:p w14:paraId="7245F247" w14:textId="77777777" w:rsidR="00097691" w:rsidRDefault="00097691" w:rsidP="00114739">
      <w:pPr>
        <w:jc w:val="both"/>
        <w:rPr>
          <w:rFonts w:ascii="Times New Roman" w:hAnsi="Times New Roman"/>
          <w:b/>
          <w:bCs/>
          <w:sz w:val="36"/>
          <w:lang w:val="en-US"/>
        </w:rPr>
      </w:pPr>
    </w:p>
    <w:p w14:paraId="5C8B043F" w14:textId="77777777" w:rsidR="00097691" w:rsidRDefault="00097691" w:rsidP="00114739">
      <w:pPr>
        <w:jc w:val="both"/>
        <w:rPr>
          <w:rFonts w:ascii="Times New Roman" w:hAnsi="Times New Roman"/>
          <w:b/>
          <w:bCs/>
          <w:sz w:val="36"/>
          <w:lang w:val="en-US"/>
        </w:rPr>
      </w:pPr>
    </w:p>
    <w:p w14:paraId="09C4D249" w14:textId="77777777" w:rsidR="00097691" w:rsidRDefault="00097691" w:rsidP="00114739">
      <w:pPr>
        <w:jc w:val="both"/>
        <w:rPr>
          <w:rFonts w:ascii="Times New Roman" w:hAnsi="Times New Roman"/>
          <w:b/>
          <w:bCs/>
          <w:sz w:val="36"/>
          <w:lang w:val="en-US"/>
        </w:rPr>
      </w:pPr>
    </w:p>
    <w:p w14:paraId="1E575842" w14:textId="77777777" w:rsidR="00097691" w:rsidRDefault="00097691" w:rsidP="00114739">
      <w:pPr>
        <w:jc w:val="both"/>
        <w:rPr>
          <w:rFonts w:ascii="Times New Roman" w:hAnsi="Times New Roman"/>
          <w:b/>
          <w:bCs/>
          <w:sz w:val="36"/>
          <w:lang w:val="en-US"/>
        </w:rPr>
      </w:pPr>
    </w:p>
    <w:p w14:paraId="45FB07C6" w14:textId="77777777" w:rsidR="00097691" w:rsidRDefault="00097691" w:rsidP="00114739">
      <w:pPr>
        <w:jc w:val="both"/>
        <w:rPr>
          <w:rFonts w:ascii="Times New Roman" w:hAnsi="Times New Roman"/>
          <w:b/>
          <w:bCs/>
          <w:sz w:val="36"/>
          <w:lang w:val="en-US"/>
        </w:rPr>
      </w:pPr>
    </w:p>
    <w:p w14:paraId="138AE7C2" w14:textId="1DEAF85F" w:rsidR="005A0F56" w:rsidRPr="00097691" w:rsidRDefault="005A0F56" w:rsidP="005B3F9B">
      <w:pPr>
        <w:jc w:val="center"/>
        <w:rPr>
          <w:rFonts w:ascii="Times New Roman" w:hAnsi="Times New Roman"/>
          <w:b/>
          <w:bCs/>
          <w:sz w:val="36"/>
          <w:lang w:val="en-US"/>
        </w:rPr>
      </w:pPr>
      <w:r w:rsidRPr="005A0F56">
        <w:rPr>
          <w:rFonts w:ascii="Times New Roman" w:hAnsi="Times New Roman"/>
          <w:b/>
          <w:bCs/>
          <w:sz w:val="36"/>
          <w:lang w:val="en-US"/>
        </w:rPr>
        <w:t>Stock Portfolio Allocation &amp; Risk Management using Reinforcement Learning</w:t>
      </w:r>
    </w:p>
    <w:p w14:paraId="49E86D6E" w14:textId="77777777" w:rsidR="00097691" w:rsidRDefault="00097691" w:rsidP="00114739">
      <w:pPr>
        <w:jc w:val="both"/>
        <w:rPr>
          <w:rFonts w:ascii="Times New Roman" w:hAnsi="Times New Roman" w:cs="Times New Roman"/>
          <w:b/>
          <w:bCs/>
          <w:sz w:val="28"/>
          <w:lang w:val="en-US"/>
        </w:rPr>
      </w:pPr>
    </w:p>
    <w:p w14:paraId="44F1A2EB" w14:textId="77777777" w:rsidR="00097691" w:rsidRDefault="00097691" w:rsidP="00114739">
      <w:pPr>
        <w:jc w:val="both"/>
        <w:rPr>
          <w:rFonts w:ascii="Times New Roman" w:hAnsi="Times New Roman" w:cs="Times New Roman"/>
          <w:b/>
          <w:bCs/>
          <w:sz w:val="28"/>
          <w:lang w:val="en-US"/>
        </w:rPr>
      </w:pPr>
    </w:p>
    <w:p w14:paraId="00B9DB6F" w14:textId="77777777" w:rsidR="00097691" w:rsidRDefault="00097691" w:rsidP="00114739">
      <w:pPr>
        <w:jc w:val="both"/>
        <w:rPr>
          <w:rFonts w:ascii="Times New Roman" w:hAnsi="Times New Roman" w:cs="Times New Roman"/>
          <w:b/>
          <w:bCs/>
          <w:sz w:val="28"/>
          <w:lang w:val="en-US"/>
        </w:rPr>
      </w:pPr>
    </w:p>
    <w:p w14:paraId="7C66A5A5" w14:textId="77777777" w:rsidR="00097691" w:rsidRDefault="00097691" w:rsidP="00114739">
      <w:pPr>
        <w:jc w:val="both"/>
        <w:rPr>
          <w:rFonts w:ascii="Times New Roman" w:hAnsi="Times New Roman" w:cs="Times New Roman"/>
          <w:b/>
          <w:bCs/>
          <w:sz w:val="28"/>
          <w:lang w:val="en-US"/>
        </w:rPr>
      </w:pPr>
    </w:p>
    <w:p w14:paraId="1E085C01" w14:textId="77777777" w:rsidR="00097691" w:rsidRDefault="00097691" w:rsidP="00114739">
      <w:pPr>
        <w:jc w:val="both"/>
        <w:rPr>
          <w:rFonts w:ascii="Times New Roman" w:hAnsi="Times New Roman" w:cs="Times New Roman"/>
          <w:b/>
          <w:bCs/>
          <w:sz w:val="28"/>
          <w:lang w:val="en-US"/>
        </w:rPr>
      </w:pPr>
    </w:p>
    <w:p w14:paraId="3EF6D355" w14:textId="77777777" w:rsidR="00097691" w:rsidRDefault="00097691" w:rsidP="00114739">
      <w:pPr>
        <w:jc w:val="both"/>
        <w:rPr>
          <w:rFonts w:ascii="Times New Roman" w:hAnsi="Times New Roman" w:cs="Times New Roman"/>
          <w:b/>
          <w:bCs/>
          <w:sz w:val="28"/>
          <w:lang w:val="en-US"/>
        </w:rPr>
      </w:pPr>
    </w:p>
    <w:p w14:paraId="4CDF7A38" w14:textId="77777777" w:rsidR="00097691" w:rsidRDefault="00097691" w:rsidP="00114739">
      <w:pPr>
        <w:jc w:val="both"/>
        <w:rPr>
          <w:rFonts w:ascii="Times New Roman" w:hAnsi="Times New Roman" w:cs="Times New Roman"/>
          <w:b/>
          <w:bCs/>
          <w:sz w:val="28"/>
          <w:lang w:val="en-US"/>
        </w:rPr>
      </w:pPr>
    </w:p>
    <w:p w14:paraId="49CED988" w14:textId="77777777" w:rsidR="00097691" w:rsidRDefault="00097691" w:rsidP="00114739">
      <w:pPr>
        <w:jc w:val="both"/>
        <w:rPr>
          <w:rFonts w:ascii="Times New Roman" w:hAnsi="Times New Roman" w:cs="Times New Roman"/>
          <w:b/>
          <w:bCs/>
          <w:sz w:val="28"/>
          <w:lang w:val="en-US"/>
        </w:rPr>
      </w:pPr>
    </w:p>
    <w:p w14:paraId="7AD82697" w14:textId="77777777" w:rsidR="00097691" w:rsidRDefault="00097691" w:rsidP="00114739">
      <w:pPr>
        <w:jc w:val="both"/>
        <w:rPr>
          <w:rFonts w:ascii="Times New Roman" w:hAnsi="Times New Roman" w:cs="Times New Roman"/>
          <w:b/>
          <w:bCs/>
          <w:sz w:val="28"/>
          <w:lang w:val="en-US"/>
        </w:rPr>
      </w:pPr>
    </w:p>
    <w:p w14:paraId="24623056" w14:textId="77777777" w:rsidR="00097691" w:rsidRDefault="00097691" w:rsidP="00114739">
      <w:pPr>
        <w:jc w:val="both"/>
        <w:rPr>
          <w:rFonts w:ascii="Times New Roman" w:hAnsi="Times New Roman" w:cs="Times New Roman"/>
          <w:b/>
          <w:bCs/>
          <w:sz w:val="28"/>
          <w:lang w:val="en-US"/>
        </w:rPr>
      </w:pPr>
    </w:p>
    <w:p w14:paraId="216D0DEB" w14:textId="77777777" w:rsidR="00097691" w:rsidRDefault="00097691" w:rsidP="00114739">
      <w:pPr>
        <w:jc w:val="both"/>
        <w:rPr>
          <w:rFonts w:ascii="Times New Roman" w:hAnsi="Times New Roman" w:cs="Times New Roman"/>
          <w:b/>
          <w:bCs/>
          <w:sz w:val="28"/>
          <w:lang w:val="en-US"/>
        </w:rPr>
      </w:pPr>
    </w:p>
    <w:p w14:paraId="0FEAC694" w14:textId="77777777" w:rsidR="00097691" w:rsidRDefault="00097691" w:rsidP="00114739">
      <w:pPr>
        <w:jc w:val="both"/>
        <w:rPr>
          <w:rFonts w:ascii="Times New Roman" w:hAnsi="Times New Roman" w:cs="Times New Roman"/>
          <w:b/>
          <w:bCs/>
          <w:sz w:val="28"/>
          <w:lang w:val="en-US"/>
        </w:rPr>
      </w:pPr>
    </w:p>
    <w:p w14:paraId="357123BE" w14:textId="77777777" w:rsidR="00097691" w:rsidRDefault="00097691" w:rsidP="00114739">
      <w:pPr>
        <w:jc w:val="both"/>
        <w:rPr>
          <w:rFonts w:ascii="Times New Roman" w:hAnsi="Times New Roman" w:cs="Times New Roman"/>
          <w:b/>
          <w:bCs/>
          <w:sz w:val="28"/>
          <w:lang w:val="en-US"/>
        </w:rPr>
      </w:pPr>
    </w:p>
    <w:p w14:paraId="346CFBF1" w14:textId="77777777" w:rsidR="00097691" w:rsidRDefault="00097691" w:rsidP="00114739">
      <w:pPr>
        <w:jc w:val="both"/>
        <w:rPr>
          <w:rFonts w:ascii="Times New Roman" w:hAnsi="Times New Roman" w:cs="Times New Roman"/>
          <w:b/>
          <w:bCs/>
          <w:sz w:val="28"/>
          <w:lang w:val="en-US"/>
        </w:rPr>
      </w:pPr>
    </w:p>
    <w:p w14:paraId="233929F8" w14:textId="77777777" w:rsidR="00097691" w:rsidRDefault="00097691" w:rsidP="00114739">
      <w:pPr>
        <w:jc w:val="both"/>
        <w:rPr>
          <w:rFonts w:ascii="Times New Roman" w:hAnsi="Times New Roman" w:cs="Times New Roman"/>
          <w:b/>
          <w:bCs/>
          <w:sz w:val="28"/>
          <w:lang w:val="en-US"/>
        </w:rPr>
      </w:pPr>
    </w:p>
    <w:p w14:paraId="6C013BE9" w14:textId="77777777" w:rsidR="00097691" w:rsidRDefault="00097691" w:rsidP="00114739">
      <w:pPr>
        <w:jc w:val="both"/>
        <w:rPr>
          <w:rFonts w:ascii="Times New Roman" w:hAnsi="Times New Roman" w:cs="Times New Roman"/>
          <w:b/>
          <w:bCs/>
          <w:sz w:val="28"/>
          <w:lang w:val="en-US"/>
        </w:rPr>
      </w:pPr>
    </w:p>
    <w:p w14:paraId="380F2C5D"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lastRenderedPageBreak/>
        <w:t>INTRODUCTION</w:t>
      </w:r>
    </w:p>
    <w:p w14:paraId="5DB8D52F" w14:textId="7331D855" w:rsidR="0099341B" w:rsidRDefault="002C7CEA" w:rsidP="00543FBE">
      <w:pPr>
        <w:jc w:val="both"/>
        <w:rPr>
          <w:rFonts w:ascii="Times New Roman" w:hAnsi="Times New Roman" w:cs="Times New Roman"/>
          <w:b/>
          <w:bCs/>
        </w:rPr>
      </w:pPr>
      <w:r w:rsidRPr="002C7CEA">
        <w:rPr>
          <w:rFonts w:ascii="Times New Roman" w:hAnsi="Times New Roman" w:cs="Times New Roman"/>
          <w:bCs/>
        </w:rPr>
        <w:t>This project delivers an advanced framework for optimal portfolio management focused exclusively on the Toronto Stock Exchange (TSX) through state-of-the-art reinforcement learning techniques. By leveraging comprehensive TSX market data from Yahoo Finance, our system implements Deep Deterministic Policy Gradient (DDPG3) for both strategic portfolio allocation and sophisticated risk management. The integration of allocation and risk management within a single algorithm creates a robust trading system specifically optimized for Canadian market conditions, dynamically balancing profit maximization with risk minimization. This tool represents a significant advancement for investors seeking enhanced returns while maintaining disciplined risk management specifically in the Toronto Stock Exchange.</w:t>
      </w:r>
    </w:p>
    <w:p w14:paraId="5FFA61A1" w14:textId="77777777" w:rsidR="0099341B" w:rsidRDefault="0099341B" w:rsidP="00543FBE">
      <w:pPr>
        <w:jc w:val="both"/>
        <w:rPr>
          <w:rFonts w:ascii="Times New Roman" w:hAnsi="Times New Roman" w:cs="Times New Roman"/>
          <w:b/>
          <w:bCs/>
        </w:rPr>
      </w:pPr>
    </w:p>
    <w:p w14:paraId="764FB400" w14:textId="16D762EA"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INDUSTRY</w:t>
      </w:r>
    </w:p>
    <w:p w14:paraId="2114FFCE" w14:textId="77777777" w:rsidR="002C7CEA" w:rsidRDefault="002C7CEA" w:rsidP="00543FBE">
      <w:pPr>
        <w:jc w:val="both"/>
        <w:rPr>
          <w:rFonts w:ascii="Times New Roman" w:hAnsi="Times New Roman" w:cs="Times New Roman"/>
          <w:bCs/>
        </w:rPr>
      </w:pPr>
      <w:r w:rsidRPr="002C7CEA">
        <w:rPr>
          <w:rFonts w:ascii="Times New Roman" w:hAnsi="Times New Roman" w:cs="Times New Roman"/>
          <w:bCs/>
        </w:rPr>
        <w:t xml:space="preserve">The stock market serves as a vital platform where investors can purchase and sell shares of publicly traded companies, acquiring partial ownership and generating returns through dividends or capital appreciation. This project specifically targets the Toronto Stock Exchange (TSX), Canada's premier equity market and a significant global financial hub. Ranked as the 10th largest exchange worldwide and 3rd largest in North America by market capitalization, the TSX represents a substantial yet often underutilized opportunity for algorithmic trading strategies. </w:t>
      </w:r>
    </w:p>
    <w:p w14:paraId="00C39991" w14:textId="778AC0D7" w:rsidR="00543FBE" w:rsidRPr="00543FBE" w:rsidRDefault="002C7CEA" w:rsidP="00543FBE">
      <w:pPr>
        <w:jc w:val="both"/>
        <w:rPr>
          <w:rFonts w:ascii="Times New Roman" w:hAnsi="Times New Roman" w:cs="Times New Roman"/>
          <w:b/>
          <w:bCs/>
        </w:rPr>
      </w:pPr>
      <w:r w:rsidRPr="002C7CEA">
        <w:rPr>
          <w:rFonts w:ascii="Times New Roman" w:hAnsi="Times New Roman" w:cs="Times New Roman"/>
          <w:bCs/>
        </w:rPr>
        <w:t>As of January 2024, the TSX hosted 1,811 listed companies spanning diverse sectors of the Canadian economy. Our comprehensive dataset encompasses 1,631 of these listings, providing broad market coverage for our reinforcement learning models. The exchange features prominent companies across key sectors including energy, financial services, industrials, and natural resources that form the backbone of the Canadian economy.</w:t>
      </w:r>
      <w:r w:rsidR="00543FBE" w:rsidRPr="00543FBE">
        <w:rPr>
          <w:rFonts w:ascii="Times New Roman" w:hAnsi="Times New Roman" w:cs="Times New Roman"/>
          <w:b/>
          <w:bCs/>
        </w:rPr>
        <w:t>Key TSX Components in Our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3799"/>
        <w:gridCol w:w="1847"/>
        <w:gridCol w:w="1975"/>
      </w:tblGrid>
      <w:tr w:rsidR="00543FBE" w:rsidRPr="00543FBE" w14:paraId="00D4F8AE" w14:textId="77777777" w:rsidTr="00543FB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E70699"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Ticker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4FAE4"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Company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049E401"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Sector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DBCD8C5"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Industry</w:t>
            </w:r>
          </w:p>
        </w:tc>
      </w:tr>
      <w:tr w:rsidR="00543FBE" w:rsidRPr="00543FBE" w14:paraId="71982FBC"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54C91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CNQ.TO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0B3FCD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Canadian Natural Resources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F8400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Energy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BDE8C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Oil &amp; Gas E&amp;P</w:t>
            </w:r>
          </w:p>
        </w:tc>
      </w:tr>
      <w:tr w:rsidR="00543FBE" w:rsidRPr="00543FBE" w14:paraId="1AC9AE22"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6C372E"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BMO.TO</w:t>
            </w:r>
          </w:p>
        </w:tc>
        <w:tc>
          <w:tcPr>
            <w:tcW w:w="0" w:type="auto"/>
            <w:tcBorders>
              <w:top w:val="single" w:sz="4" w:space="0" w:color="auto"/>
              <w:left w:val="single" w:sz="4" w:space="0" w:color="auto"/>
              <w:bottom w:val="single" w:sz="4" w:space="0" w:color="auto"/>
              <w:right w:val="single" w:sz="4" w:space="0" w:color="auto"/>
            </w:tcBorders>
            <w:vAlign w:val="center"/>
            <w:hideMark/>
          </w:tcPr>
          <w:p w14:paraId="308DD187"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 of Montreal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BABFE96"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Financial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529277"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Banks - Diversified</w:t>
            </w:r>
          </w:p>
        </w:tc>
      </w:tr>
      <w:tr w:rsidR="00543FBE" w:rsidRPr="00543FBE" w14:paraId="5FEF5A67"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2A0C1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CM.TO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61EC1F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Canadian Imperial Bank of Commerce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42B5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Financial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FD085"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Banks - Diversified</w:t>
            </w:r>
          </w:p>
        </w:tc>
      </w:tr>
      <w:tr w:rsidR="00543FBE" w:rsidRPr="00543FBE" w14:paraId="7020331E"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6C0452"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CNR.TO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6EEB500"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Canadian National Railway Co.</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29A8B"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Industrials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F7C4B"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Railroads</w:t>
            </w:r>
          </w:p>
        </w:tc>
      </w:tr>
      <w:tr w:rsidR="00543FBE" w:rsidRPr="00543FBE" w14:paraId="3950865A"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55F8FE"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ABX.TO</w:t>
            </w:r>
          </w:p>
        </w:tc>
        <w:tc>
          <w:tcPr>
            <w:tcW w:w="0" w:type="auto"/>
            <w:tcBorders>
              <w:top w:val="single" w:sz="4" w:space="0" w:color="auto"/>
              <w:left w:val="single" w:sz="4" w:space="0" w:color="auto"/>
              <w:bottom w:val="single" w:sz="4" w:space="0" w:color="auto"/>
              <w:right w:val="single" w:sz="4" w:space="0" w:color="auto"/>
            </w:tcBorders>
            <w:vAlign w:val="center"/>
            <w:hideMark/>
          </w:tcPr>
          <w:p w14:paraId="633DDBBF"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Barrick Gold Corporation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24266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Basic Materials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E2D6A0"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Gold</w:t>
            </w:r>
          </w:p>
        </w:tc>
      </w:tr>
      <w:tr w:rsidR="00543FBE" w:rsidRPr="00543FBE" w14:paraId="2F1BF82D"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3EF672"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BNS.TO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165C1"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 of Nova Scotia</w:t>
            </w:r>
          </w:p>
        </w:tc>
        <w:tc>
          <w:tcPr>
            <w:tcW w:w="0" w:type="auto"/>
            <w:tcBorders>
              <w:top w:val="single" w:sz="4" w:space="0" w:color="auto"/>
              <w:left w:val="single" w:sz="4" w:space="0" w:color="auto"/>
              <w:bottom w:val="single" w:sz="4" w:space="0" w:color="auto"/>
              <w:right w:val="single" w:sz="4" w:space="0" w:color="auto"/>
            </w:tcBorders>
            <w:vAlign w:val="center"/>
            <w:hideMark/>
          </w:tcPr>
          <w:p w14:paraId="4A297DFF"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Financial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4D3742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Banks - Diversified</w:t>
            </w:r>
          </w:p>
        </w:tc>
      </w:tr>
    </w:tbl>
    <w:p w14:paraId="7D56C849" w14:textId="77777777" w:rsidR="00543FBE" w:rsidRDefault="00543FBE" w:rsidP="00543FBE">
      <w:pPr>
        <w:jc w:val="both"/>
        <w:rPr>
          <w:rFonts w:ascii="Times New Roman" w:hAnsi="Times New Roman" w:cs="Times New Roman"/>
          <w:b/>
          <w:bCs/>
        </w:rPr>
      </w:pPr>
    </w:p>
    <w:p w14:paraId="331D84C4" w14:textId="77777777" w:rsidR="00543FBE" w:rsidRDefault="00543FBE" w:rsidP="00543FBE">
      <w:pPr>
        <w:jc w:val="both"/>
        <w:rPr>
          <w:rFonts w:ascii="Times New Roman" w:hAnsi="Times New Roman" w:cs="Times New Roman"/>
          <w:b/>
          <w:bCs/>
        </w:rPr>
      </w:pPr>
    </w:p>
    <w:p w14:paraId="5F0CA16D" w14:textId="054E97AD"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DEFINING THE PROBLEMS</w:t>
      </w:r>
    </w:p>
    <w:p w14:paraId="0299AC97"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Individual investors face numerous challenges when managing stock portfolios that sophisticated institutional investors can overcome with advanced technologies and expertise.</w:t>
      </w:r>
    </w:p>
    <w:p w14:paraId="5C7ED619" w14:textId="2EF6EF2D" w:rsidR="00543FBE" w:rsidRPr="00BF5046" w:rsidRDefault="00BF5046" w:rsidP="00543FBE">
      <w:pPr>
        <w:jc w:val="both"/>
        <w:rPr>
          <w:rFonts w:ascii="Times New Roman" w:hAnsi="Times New Roman" w:cs="Times New Roman"/>
          <w:sz w:val="25"/>
        </w:rPr>
      </w:pPr>
      <w:r w:rsidRPr="00BF5046">
        <w:rPr>
          <w:rFonts w:ascii="Times New Roman" w:hAnsi="Times New Roman" w:cs="Times New Roman"/>
          <w:sz w:val="25"/>
        </w:rPr>
        <w:t>Knowledge &amp; Expertise Gap</w:t>
      </w:r>
    </w:p>
    <w:p w14:paraId="08E87499"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Most retail investors possess limited understanding of the statistical methods required for true portfolio optimization. They struggle to build complex risk models, lack expertise in advanced technical analysis, and find it difficult to incorporate broader macroeconomic factors into their investment decisions.</w:t>
      </w:r>
    </w:p>
    <w:p w14:paraId="58CDD132" w14:textId="37C0DB68" w:rsidR="00543FBE" w:rsidRPr="00BF5046" w:rsidRDefault="00A653D0" w:rsidP="00543FBE">
      <w:pPr>
        <w:jc w:val="both"/>
        <w:rPr>
          <w:rFonts w:ascii="Times New Roman" w:hAnsi="Times New Roman" w:cs="Times New Roman"/>
          <w:sz w:val="25"/>
        </w:rPr>
      </w:pPr>
      <w:r w:rsidRPr="00BF5046">
        <w:rPr>
          <w:rFonts w:ascii="Times New Roman" w:hAnsi="Times New Roman" w:cs="Times New Roman"/>
          <w:sz w:val="25"/>
        </w:rPr>
        <w:t>Information Overload</w:t>
      </w:r>
    </w:p>
    <w:p w14:paraId="6ADF4D2B"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Individual investors today face an overwhelming deluge of financial information that makes effective portfolio management exceedingly difficult. The modern investor must somehow process data on thousands of potential investments, interpret complex technical indicators like RSI and MACD, integrate breaking market news, and analyse intricate corporate financial statements - all simultaneously and continuously. This cognitive burden alone creates a significant barrier to effective decision-making.</w:t>
      </w:r>
    </w:p>
    <w:p w14:paraId="13A05AF1" w14:textId="62139851" w:rsidR="00543FBE" w:rsidRPr="00BF5046" w:rsidRDefault="00A653D0" w:rsidP="00543FBE">
      <w:pPr>
        <w:jc w:val="both"/>
        <w:rPr>
          <w:rFonts w:ascii="Times New Roman" w:hAnsi="Times New Roman" w:cs="Times New Roman"/>
          <w:bCs/>
          <w:sz w:val="25"/>
        </w:rPr>
      </w:pPr>
      <w:r w:rsidRPr="00BF5046">
        <w:rPr>
          <w:rFonts w:ascii="Times New Roman" w:hAnsi="Times New Roman" w:cs="Times New Roman"/>
          <w:bCs/>
          <w:sz w:val="25"/>
        </w:rPr>
        <w:t>Biases in Investment Decisions</w:t>
      </w:r>
    </w:p>
    <w:p w14:paraId="09CD8DD2"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Investors routinely exhibit recency bias, giving too much weight to recent market events while ignoring longer-term patterns. Confirmation bias leads them to seek information that validates their existing investment theses while disregarding contradictory evidence.</w:t>
      </w:r>
    </w:p>
    <w:p w14:paraId="2DC66298" w14:textId="655793D7" w:rsidR="00543FBE" w:rsidRPr="00BF5046" w:rsidRDefault="00543FBE" w:rsidP="00543FBE">
      <w:pPr>
        <w:jc w:val="both"/>
        <w:rPr>
          <w:rFonts w:ascii="Times New Roman" w:hAnsi="Times New Roman" w:cs="Times New Roman"/>
          <w:bCs/>
          <w:sz w:val="25"/>
        </w:rPr>
      </w:pPr>
      <w:r w:rsidRPr="00BF5046">
        <w:rPr>
          <w:rFonts w:ascii="Times New Roman" w:hAnsi="Times New Roman" w:cs="Times New Roman"/>
          <w:bCs/>
          <w:sz w:val="25"/>
        </w:rPr>
        <w:t>R</w:t>
      </w:r>
      <w:r w:rsidR="00A653D0" w:rsidRPr="00BF5046">
        <w:rPr>
          <w:rFonts w:ascii="Times New Roman" w:hAnsi="Times New Roman" w:cs="Times New Roman"/>
          <w:bCs/>
          <w:sz w:val="25"/>
        </w:rPr>
        <w:t>isk Perception Challenges</w:t>
      </w:r>
    </w:p>
    <w:p w14:paraId="2EC128A0"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Most retail investors struggle to accurately quantify expected market volatility and fail to align their actual risk tolerance with their portfolio construction. There's a pervasive blindness to tail risk - the probability and potential impact of extreme market events that occur more frequently than standard models predict. Investors also frequently misunderstand asset correlations, especially how seemingly diverse investments may become highly correlated during market stress, undermining diversification benefits precisely when they're most needed.</w:t>
      </w:r>
    </w:p>
    <w:p w14:paraId="123FE380" w14:textId="7D0E8AE4" w:rsidR="00A653D0" w:rsidRPr="00BF5046" w:rsidRDefault="00A653D0" w:rsidP="00543FBE">
      <w:pPr>
        <w:jc w:val="both"/>
        <w:rPr>
          <w:rFonts w:ascii="Times New Roman" w:hAnsi="Times New Roman" w:cs="Times New Roman"/>
          <w:bCs/>
          <w:sz w:val="25"/>
        </w:rPr>
      </w:pPr>
      <w:r w:rsidRPr="00BF5046">
        <w:rPr>
          <w:rFonts w:ascii="Times New Roman" w:hAnsi="Times New Roman" w:cs="Times New Roman"/>
          <w:bCs/>
          <w:sz w:val="25"/>
        </w:rPr>
        <w:t>Asset Selection &amp; Portfolio Management &amp; Optimization</w:t>
      </w:r>
    </w:p>
    <w:p w14:paraId="17AD3D8D"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Individual investors often select assets based on familiarity or recent performance rather than fundamental analysis, leading to suboptimal portfolios from the outset. They frequently struggle with diversification, either over-diversifying and diluting potential returns or under-diversifying and taking on excessive concentration risk. They also tend to focus single-dimensionally on returns without properly accounting for risk. Rebalancing timing becomes a persistent question without clear answers, leading to either excessive trading or neglect of portfolio drift.</w:t>
      </w:r>
    </w:p>
    <w:p w14:paraId="06924384" w14:textId="77777777" w:rsidR="00A653D0" w:rsidRDefault="00A653D0" w:rsidP="00543FBE">
      <w:pPr>
        <w:jc w:val="both"/>
        <w:rPr>
          <w:rFonts w:ascii="Times New Roman" w:hAnsi="Times New Roman" w:cs="Times New Roman"/>
          <w:bCs/>
        </w:rPr>
      </w:pPr>
    </w:p>
    <w:p w14:paraId="6C1F0903" w14:textId="7A54140E" w:rsidR="00543FBE" w:rsidRPr="00BF5046" w:rsidRDefault="00A653D0" w:rsidP="00543FBE">
      <w:pPr>
        <w:jc w:val="both"/>
        <w:rPr>
          <w:rFonts w:ascii="Times New Roman" w:hAnsi="Times New Roman" w:cs="Times New Roman"/>
          <w:bCs/>
          <w:sz w:val="25"/>
        </w:rPr>
      </w:pPr>
      <w:r w:rsidRPr="00BF5046">
        <w:rPr>
          <w:rFonts w:ascii="Times New Roman" w:hAnsi="Times New Roman" w:cs="Times New Roman"/>
          <w:bCs/>
          <w:sz w:val="25"/>
        </w:rPr>
        <w:lastRenderedPageBreak/>
        <w:t>Technological Limitations</w:t>
      </w:r>
    </w:p>
    <w:p w14:paraId="7DA99A2B" w14:textId="77777777" w:rsidR="00543FBE" w:rsidRDefault="00543FBE" w:rsidP="00543FBE">
      <w:pPr>
        <w:jc w:val="both"/>
        <w:rPr>
          <w:rFonts w:ascii="Times New Roman" w:hAnsi="Times New Roman" w:cs="Times New Roman"/>
          <w:bCs/>
        </w:rPr>
      </w:pPr>
      <w:r w:rsidRPr="00543FBE">
        <w:rPr>
          <w:rFonts w:ascii="Times New Roman" w:hAnsi="Times New Roman" w:cs="Times New Roman"/>
          <w:bCs/>
        </w:rPr>
        <w:t>Individual investors face significant technological disadvantages compared to institutional market participants. The computational constraints are substantial - retail investors lack the processing power to analyse large market datasets, the capabilities to process information in real-time, access to sophisticated automated execution systems, and the ability to rigorously back test strategies against historical data.</w:t>
      </w:r>
    </w:p>
    <w:p w14:paraId="249BC644" w14:textId="77777777" w:rsidR="00543FBE" w:rsidRDefault="00543FBE" w:rsidP="00543FBE">
      <w:pPr>
        <w:jc w:val="both"/>
        <w:rPr>
          <w:rFonts w:ascii="Times New Roman" w:hAnsi="Times New Roman" w:cs="Times New Roman"/>
          <w:bCs/>
        </w:rPr>
      </w:pPr>
    </w:p>
    <w:p w14:paraId="570E62F4" w14:textId="77777777" w:rsidR="00543FBE" w:rsidRPr="00543FBE" w:rsidRDefault="00543FBE" w:rsidP="00543FBE">
      <w:pPr>
        <w:jc w:val="both"/>
        <w:rPr>
          <w:rFonts w:ascii="Times New Roman" w:hAnsi="Times New Roman" w:cs="Times New Roman"/>
          <w:bCs/>
        </w:rPr>
      </w:pPr>
    </w:p>
    <w:p w14:paraId="20D2F08D" w14:textId="77777777" w:rsidR="00A653D0" w:rsidRDefault="00A653D0" w:rsidP="00543FBE">
      <w:pPr>
        <w:jc w:val="both"/>
        <w:rPr>
          <w:rFonts w:ascii="Times New Roman" w:hAnsi="Times New Roman" w:cs="Times New Roman"/>
          <w:b/>
          <w:bCs/>
        </w:rPr>
      </w:pPr>
      <w:r w:rsidRPr="00A653D0">
        <w:rPr>
          <w:rFonts w:ascii="Times New Roman" w:hAnsi="Times New Roman" w:cs="Times New Roman"/>
          <w:b/>
          <w:bCs/>
        </w:rPr>
        <w:t xml:space="preserve">DIFFERENTIATION </w:t>
      </w:r>
    </w:p>
    <w:p w14:paraId="683D16CF" w14:textId="43DA17E1" w:rsidR="00543FBE" w:rsidRDefault="00A653D0" w:rsidP="00543FBE">
      <w:pPr>
        <w:jc w:val="both"/>
        <w:rPr>
          <w:rFonts w:ascii="Times New Roman" w:hAnsi="Times New Roman" w:cs="Times New Roman"/>
          <w:b/>
          <w:bCs/>
        </w:rPr>
      </w:pPr>
      <w:r w:rsidRPr="00A653D0">
        <w:rPr>
          <w:rFonts w:ascii="Times New Roman" w:hAnsi="Times New Roman" w:cs="Times New Roman"/>
        </w:rPr>
        <w:t>The product represents a significant advancement over traditional portfolio management tools and even other machine learning-based approaches.</w:t>
      </w:r>
    </w:p>
    <w:p w14:paraId="0B3BA7A5" w14:textId="77777777" w:rsidR="0099341B" w:rsidRDefault="0099341B" w:rsidP="00543FBE">
      <w:pPr>
        <w:jc w:val="both"/>
        <w:rPr>
          <w:rStyle w:val="Strong"/>
          <w:rFonts w:ascii="Times New Roman" w:eastAsiaTheme="majorEastAsia" w:hAnsi="Times New Roman"/>
        </w:rPr>
      </w:pPr>
    </w:p>
    <w:p w14:paraId="73321CF6" w14:textId="77777777" w:rsidR="00A653D0" w:rsidRPr="00A653D0" w:rsidRDefault="00A653D0" w:rsidP="00A653D0">
      <w:pPr>
        <w:jc w:val="both"/>
        <w:rPr>
          <w:rStyle w:val="Strong"/>
          <w:rFonts w:ascii="Times New Roman" w:eastAsiaTheme="majorEastAsia" w:hAnsi="Times New Roman"/>
        </w:rPr>
      </w:pPr>
      <w:r w:rsidRPr="00A653D0">
        <w:rPr>
          <w:rStyle w:val="Strong"/>
          <w:rFonts w:ascii="Times New Roman" w:eastAsiaTheme="majorEastAsia" w:hAnsi="Times New Roman"/>
        </w:rPr>
        <w:t>TRADITIONAL PORTFOLIO MANAGEMENT PLATFORMS</w:t>
      </w:r>
    </w:p>
    <w:p w14:paraId="648E0A2B" w14:textId="77777777" w:rsidR="00A653D0" w:rsidRPr="00A653D0" w:rsidRDefault="00A653D0" w:rsidP="00A653D0">
      <w:pPr>
        <w:jc w:val="both"/>
        <w:rPr>
          <w:rStyle w:val="Strong"/>
          <w:rFonts w:ascii="Times New Roman" w:eastAsiaTheme="majorEastAsia" w:hAnsi="Times New Roman"/>
          <w:b w:val="0"/>
          <w:bCs w:val="0"/>
        </w:rPr>
      </w:pPr>
      <w:r w:rsidRPr="00A653D0">
        <w:rPr>
          <w:rStyle w:val="Strong"/>
          <w:rFonts w:ascii="Times New Roman" w:eastAsiaTheme="majorEastAsia" w:hAnsi="Times New Roman"/>
          <w:b w:val="0"/>
          <w:bCs w:val="0"/>
        </w:rPr>
        <w:t>1. MetaTrader (MT4/MT5)</w:t>
      </w:r>
    </w:p>
    <w:p w14:paraId="3828F6C1" w14:textId="77777777" w:rsidR="00A653D0" w:rsidRPr="00A653D0" w:rsidRDefault="00A653D0" w:rsidP="00A653D0">
      <w:pPr>
        <w:jc w:val="both"/>
        <w:rPr>
          <w:rStyle w:val="Strong"/>
          <w:rFonts w:ascii="Times New Roman" w:eastAsiaTheme="majorEastAsia" w:hAnsi="Times New Roman"/>
          <w:b w:val="0"/>
          <w:bCs w:val="0"/>
        </w:rPr>
      </w:pPr>
      <w:r w:rsidRPr="00A653D0">
        <w:rPr>
          <w:rStyle w:val="Strong"/>
          <w:rFonts w:ascii="Times New Roman" w:eastAsiaTheme="majorEastAsia" w:hAnsi="Times New Roman"/>
          <w:b w:val="0"/>
          <w:bCs w:val="0"/>
        </w:rPr>
        <w:t>Approach: MetaTrader is widely used for online retail foreign exchange trading, focusing primarily on technical analysis and rule-based trading. It operates on fixed, rule-based strategies that remain static once implemented and cannot adjust to changes in market conditions.</w:t>
      </w:r>
    </w:p>
    <w:p w14:paraId="14D42AE3" w14:textId="168F0981" w:rsidR="00A653D0" w:rsidRDefault="00A653D0" w:rsidP="00A653D0">
      <w:pPr>
        <w:jc w:val="both"/>
        <w:rPr>
          <w:rStyle w:val="Strong"/>
          <w:rFonts w:ascii="Times New Roman" w:eastAsiaTheme="majorEastAsia" w:hAnsi="Times New Roman"/>
          <w:b w:val="0"/>
          <w:bCs w:val="0"/>
        </w:rPr>
      </w:pPr>
      <w:r w:rsidRPr="00A653D0">
        <w:rPr>
          <w:rStyle w:val="Strong"/>
          <w:rFonts w:ascii="Times New Roman" w:eastAsiaTheme="majorEastAsia" w:hAnsi="Times New Roman"/>
          <w:b w:val="0"/>
          <w:bCs w:val="0"/>
        </w:rPr>
        <w:t>Differentiation: The DDPG3 system dynamically adapts to market changes through reinforcement learning, unlike MetaTrader's static approach. While MetaTrader struggles with integrating alternative data sources, the new system incorporates a rich set of technical indicators, risk metrics, and can be expanded to include sentiment and macroeconomic factors. This approach also addresses MetaTrader's inadequate portfolio management capabilities through sophisticated position sizing and risk budgeting.</w:t>
      </w:r>
    </w:p>
    <w:p w14:paraId="41B6E80C" w14:textId="77777777" w:rsidR="00A653D0" w:rsidRDefault="00A653D0" w:rsidP="00A653D0">
      <w:pPr>
        <w:jc w:val="both"/>
        <w:rPr>
          <w:rStyle w:val="Strong"/>
          <w:rFonts w:ascii="Times New Roman" w:eastAsiaTheme="majorEastAsia" w:hAnsi="Times New Roman"/>
          <w:b w:val="0"/>
          <w:bCs w:val="0"/>
        </w:rPr>
      </w:pPr>
    </w:p>
    <w:p w14:paraId="5E632F5C"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t xml:space="preserve">2. Interactive Brokers (TWS) </w:t>
      </w:r>
    </w:p>
    <w:p w14:paraId="517CF800"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t xml:space="preserve">Approach: Interactive Brokers' Trader Workstation (TWS) provides professional-grade tools for global financial market trading but requires manual strategy development and back testing. While sophisticated, it lacks built-in machine learning capabilities, making it time-consuming to develop dynamic strategies. </w:t>
      </w:r>
    </w:p>
    <w:p w14:paraId="575EDBA5" w14:textId="1E1CC9F8" w:rsidR="00A653D0" w:rsidRDefault="00A653D0" w:rsidP="00A653D0">
      <w:pPr>
        <w:jc w:val="both"/>
        <w:rPr>
          <w:rFonts w:ascii="Times New Roman" w:eastAsiaTheme="majorEastAsia" w:hAnsi="Times New Roman"/>
        </w:rPr>
      </w:pPr>
      <w:r w:rsidRPr="00A653D0">
        <w:rPr>
          <w:rFonts w:ascii="Times New Roman" w:eastAsiaTheme="majorEastAsia" w:hAnsi="Times New Roman"/>
        </w:rPr>
        <w:t>Differentiation: The DDPG3 approach automates the strategy development and optimization process through reinforcement learning, eliminating the manual effort required in TWS. While TWS users must manually adjust strategies as market conditions change, the DDPG3 architecture continuously learns and adapts in real-time. Additionally, the integrated risk management component provides more sophisticated portfolio optimization than TWS's traditional tools.</w:t>
      </w:r>
    </w:p>
    <w:p w14:paraId="23C884BD"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lastRenderedPageBreak/>
        <w:t xml:space="preserve">3. Bloomberg Terminal </w:t>
      </w:r>
    </w:p>
    <w:p w14:paraId="30CEBF36"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t xml:space="preserve">Approach: The Bloomberg Terminal provides professionals with real-time financial market data and trading capabilities but at a prohibitively high cost. Despite its comprehensive data, it has limited machine learning integration and struggles with dynamic portfolio management. </w:t>
      </w:r>
    </w:p>
    <w:p w14:paraId="1BC0883D" w14:textId="5E990E84" w:rsidR="00A653D0" w:rsidRPr="00A653D0" w:rsidRDefault="00A653D0" w:rsidP="00A653D0">
      <w:pPr>
        <w:jc w:val="both"/>
        <w:rPr>
          <w:rStyle w:val="Strong"/>
          <w:rFonts w:ascii="Times New Roman" w:eastAsiaTheme="majorEastAsia" w:hAnsi="Times New Roman"/>
        </w:rPr>
      </w:pPr>
      <w:r w:rsidRPr="00A653D0">
        <w:rPr>
          <w:rFonts w:ascii="Times New Roman" w:eastAsiaTheme="majorEastAsia" w:hAnsi="Times New Roman"/>
        </w:rPr>
        <w:t>Differentiation: The DDPG3 system offers advanced portfolio optimization techniques at a fraction of Bloomberg's cost. While Bloomberg's complex interface can be overwhelming for newcomers, the DDPG3 architecture provides a more transparent and interpretable approach to investment decisions. The system's ability to learn optimal risk management strategies addresses Bloomberg's limitations in dynamic portfolio management.</w:t>
      </w:r>
    </w:p>
    <w:p w14:paraId="0F197D49" w14:textId="77777777" w:rsidR="00A653D0" w:rsidRDefault="00A653D0" w:rsidP="00543FBE">
      <w:pPr>
        <w:jc w:val="both"/>
        <w:rPr>
          <w:rStyle w:val="Strong"/>
          <w:rFonts w:ascii="Times New Roman" w:eastAsiaTheme="majorEastAsia" w:hAnsi="Times New Roman"/>
        </w:rPr>
      </w:pPr>
    </w:p>
    <w:p w14:paraId="6AA27BDB" w14:textId="77777777" w:rsidR="00A653D0" w:rsidRDefault="00A653D0" w:rsidP="00543FBE">
      <w:pPr>
        <w:jc w:val="both"/>
        <w:rPr>
          <w:rFonts w:ascii="Times New Roman" w:eastAsiaTheme="majorEastAsia" w:hAnsi="Times New Roman"/>
          <w:b/>
          <w:bCs/>
        </w:rPr>
      </w:pPr>
      <w:r w:rsidRPr="00A653D0">
        <w:rPr>
          <w:rFonts w:ascii="Times New Roman" w:eastAsiaTheme="majorEastAsia" w:hAnsi="Times New Roman"/>
          <w:b/>
          <w:bCs/>
        </w:rPr>
        <w:t xml:space="preserve">Machine Learning (ML)-Powered Platforms </w:t>
      </w:r>
    </w:p>
    <w:p w14:paraId="3ACC2F4C"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4. QuantConnect </w:t>
      </w:r>
    </w:p>
    <w:p w14:paraId="05CA5FC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Approach: QuantConnect allows users to design, backtest, and deploy machine learning-based strategies with integration for libraries like TensorFlow and scikit-learn. However, it presents a steep learning curve, requires resource-intensive computation for complex strategies, and offers limited built-in ML algorithms. </w:t>
      </w:r>
    </w:p>
    <w:p w14:paraId="65839615" w14:textId="463F4F1A" w:rsidR="00A653D0" w:rsidRPr="00A653D0" w:rsidRDefault="00A653D0" w:rsidP="00543FBE">
      <w:pPr>
        <w:jc w:val="both"/>
        <w:rPr>
          <w:rStyle w:val="Strong"/>
          <w:rFonts w:ascii="Times New Roman" w:eastAsiaTheme="majorEastAsia" w:hAnsi="Times New Roman"/>
        </w:rPr>
      </w:pPr>
      <w:r w:rsidRPr="00A653D0">
        <w:rPr>
          <w:rFonts w:ascii="Times New Roman" w:eastAsiaTheme="majorEastAsia" w:hAnsi="Times New Roman"/>
        </w:rPr>
        <w:t>Differentiation: The DDPG3 system provides ready-to-use reinforcement learning architecture specialized for portfolio management, eliminating the need to build ML models from scratch. The integrated optimization approach achieves superior results with lower computational overhead compared to QuantConnect's general-purpose ML integration. While QuantConnect users must create their own portfolio optimization logic, the DDPG3 system has this capability built into its core architecture.</w:t>
      </w:r>
    </w:p>
    <w:p w14:paraId="7BA2AB6D" w14:textId="77777777" w:rsidR="0099341B" w:rsidRDefault="0099341B" w:rsidP="00543FBE">
      <w:pPr>
        <w:jc w:val="both"/>
        <w:rPr>
          <w:rStyle w:val="Strong"/>
          <w:rFonts w:ascii="Times New Roman" w:eastAsiaTheme="majorEastAsia" w:hAnsi="Times New Roman"/>
        </w:rPr>
      </w:pPr>
    </w:p>
    <w:p w14:paraId="1C5105FE"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5. Alpaca</w:t>
      </w:r>
    </w:p>
    <w:p w14:paraId="19390D3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Approach: Alpaca offers a commission-free trading platform with API access for algorithmic trading but lacks native ML support. Users must build their own models from scratch and integrate them with Alpaca's API, requiring significant custom development. It also has limited risk management tools. </w:t>
      </w:r>
    </w:p>
    <w:p w14:paraId="343EE77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Differentiation: The DDPG3 system provides a pre-built, specialized RL algorithm for both allocation and risk management, eliminating the extensive custom development needed with Alpaca. While Alpaca users must develop their own risk management framework, the DDPG3 component handles this automatically with sophisticated position sizing and risk budgeting. This integrated approach also eliminates the need to connect disparate systems, as would be required when using Alpaca with custom ML models. </w:t>
      </w:r>
    </w:p>
    <w:p w14:paraId="55B82CB2" w14:textId="77777777" w:rsidR="00A653D0" w:rsidRDefault="00A653D0" w:rsidP="00543FBE">
      <w:pPr>
        <w:jc w:val="both"/>
        <w:rPr>
          <w:rFonts w:ascii="Times New Roman" w:eastAsiaTheme="majorEastAsia" w:hAnsi="Times New Roman"/>
        </w:rPr>
      </w:pPr>
    </w:p>
    <w:p w14:paraId="0CB0285E" w14:textId="77777777" w:rsidR="00A653D0" w:rsidRPr="00A653D0" w:rsidRDefault="00A653D0" w:rsidP="00543FBE">
      <w:pPr>
        <w:jc w:val="both"/>
        <w:rPr>
          <w:rFonts w:ascii="Times New Roman" w:eastAsiaTheme="majorEastAsia" w:hAnsi="Times New Roman"/>
        </w:rPr>
      </w:pPr>
    </w:p>
    <w:p w14:paraId="7361BEE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lastRenderedPageBreak/>
        <w:t xml:space="preserve">6. Quantopian </w:t>
      </w:r>
    </w:p>
    <w:p w14:paraId="15EC04EB"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Approach: Quantopian was a popular algorithmic trading platform that allowed users to create and backtest ML-based strategies using Python. However, it has been discontinued, required integration with external brokers, and lacked focus on portfolio optimization. </w:t>
      </w:r>
    </w:p>
    <w:p w14:paraId="23AF0233" w14:textId="07E5CCBC" w:rsidR="00A653D0" w:rsidRDefault="00A653D0" w:rsidP="00543FBE">
      <w:pPr>
        <w:jc w:val="both"/>
        <w:rPr>
          <w:rFonts w:ascii="Times New Roman" w:eastAsiaTheme="majorEastAsia" w:hAnsi="Times New Roman"/>
        </w:rPr>
      </w:pPr>
      <w:r w:rsidRPr="00A653D0">
        <w:rPr>
          <w:rFonts w:ascii="Times New Roman" w:eastAsiaTheme="majorEastAsia" w:hAnsi="Times New Roman"/>
        </w:rPr>
        <w:t>Differentiation: The DDPG3 system addresses Quantopian's limitations by providing a comprehensive solution that includes both strategy development and portfolio optimization in one integrated platform. While Quantopian focused primarily on individual trading algorithms, the DDPG3 approach explicitly addresses portfolio-level optimization and risk management. The system also offers more specialized reinforcement learning algorithms tailored to financial markets versus Quantopian's general-purpose ML tools.</w:t>
      </w:r>
    </w:p>
    <w:p w14:paraId="4A33F14C" w14:textId="77777777" w:rsidR="00A653D0" w:rsidRPr="00A653D0" w:rsidRDefault="00A653D0" w:rsidP="00543FBE">
      <w:pPr>
        <w:jc w:val="both"/>
        <w:rPr>
          <w:rStyle w:val="Strong"/>
          <w:rFonts w:ascii="Times New Roman" w:eastAsiaTheme="majorEastAsia" w:hAnsi="Times New Roman"/>
        </w:rPr>
      </w:pPr>
    </w:p>
    <w:p w14:paraId="2C077761" w14:textId="77777777" w:rsidR="00756CE2" w:rsidRPr="00756CE2" w:rsidRDefault="00756CE2" w:rsidP="0060351E">
      <w:pPr>
        <w:jc w:val="both"/>
        <w:rPr>
          <w:rFonts w:ascii="Times New Roman" w:hAnsi="Times New Roman" w:cs="Times New Roman"/>
          <w:b/>
          <w:bCs/>
        </w:rPr>
      </w:pPr>
    </w:p>
    <w:sectPr w:rsidR="00756CE2" w:rsidRPr="00756C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D2422"/>
    <w:multiLevelType w:val="hybridMultilevel"/>
    <w:tmpl w:val="52C6F6B2"/>
    <w:lvl w:ilvl="0" w:tplc="8CD2E8B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CC6F69"/>
    <w:multiLevelType w:val="multilevel"/>
    <w:tmpl w:val="C56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73EDF"/>
    <w:multiLevelType w:val="hybridMultilevel"/>
    <w:tmpl w:val="8D6E2254"/>
    <w:lvl w:ilvl="0" w:tplc="F520678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3124237">
    <w:abstractNumId w:val="0"/>
  </w:num>
  <w:num w:numId="2" w16cid:durableId="434791331">
    <w:abstractNumId w:val="1"/>
  </w:num>
  <w:num w:numId="3" w16cid:durableId="147135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56"/>
    <w:rsid w:val="00032550"/>
    <w:rsid w:val="000574B7"/>
    <w:rsid w:val="000575AA"/>
    <w:rsid w:val="00076736"/>
    <w:rsid w:val="00097691"/>
    <w:rsid w:val="000A5833"/>
    <w:rsid w:val="00114739"/>
    <w:rsid w:val="001A411E"/>
    <w:rsid w:val="001C4075"/>
    <w:rsid w:val="001E2BB2"/>
    <w:rsid w:val="002A6186"/>
    <w:rsid w:val="002C7CEA"/>
    <w:rsid w:val="00363382"/>
    <w:rsid w:val="00471375"/>
    <w:rsid w:val="0053574F"/>
    <w:rsid w:val="00543FBE"/>
    <w:rsid w:val="00580D50"/>
    <w:rsid w:val="005A0F56"/>
    <w:rsid w:val="005B3F9B"/>
    <w:rsid w:val="005D5D36"/>
    <w:rsid w:val="0060351E"/>
    <w:rsid w:val="006069E4"/>
    <w:rsid w:val="006412E4"/>
    <w:rsid w:val="00756CE2"/>
    <w:rsid w:val="007E17DC"/>
    <w:rsid w:val="00813C14"/>
    <w:rsid w:val="008C4A3D"/>
    <w:rsid w:val="009135AB"/>
    <w:rsid w:val="0099341B"/>
    <w:rsid w:val="00A653D0"/>
    <w:rsid w:val="00B0020B"/>
    <w:rsid w:val="00B0640B"/>
    <w:rsid w:val="00BC4F4F"/>
    <w:rsid w:val="00BF3EE7"/>
    <w:rsid w:val="00BF5046"/>
    <w:rsid w:val="00C36BAB"/>
    <w:rsid w:val="00CF640F"/>
    <w:rsid w:val="00DA5FFC"/>
    <w:rsid w:val="00E509D3"/>
    <w:rsid w:val="00E62B1A"/>
    <w:rsid w:val="00EB6EBD"/>
    <w:rsid w:val="00FA01B5"/>
    <w:rsid w:val="00FE4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49B7"/>
  <w15:chartTrackingRefBased/>
  <w15:docId w15:val="{3BD9D7C8-62C6-44E6-8691-589B0EE7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BE"/>
  </w:style>
  <w:style w:type="paragraph" w:styleId="Heading1">
    <w:name w:val="heading 1"/>
    <w:basedOn w:val="Normal"/>
    <w:next w:val="Normal"/>
    <w:link w:val="Heading1Char"/>
    <w:uiPriority w:val="9"/>
    <w:qFormat/>
    <w:rsid w:val="005A0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F56"/>
    <w:rPr>
      <w:rFonts w:eastAsiaTheme="majorEastAsia" w:cstheme="majorBidi"/>
      <w:color w:val="272727" w:themeColor="text1" w:themeTint="D8"/>
    </w:rPr>
  </w:style>
  <w:style w:type="paragraph" w:styleId="Title">
    <w:name w:val="Title"/>
    <w:basedOn w:val="Normal"/>
    <w:next w:val="Normal"/>
    <w:link w:val="TitleChar"/>
    <w:uiPriority w:val="10"/>
    <w:qFormat/>
    <w:rsid w:val="005A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F56"/>
    <w:pPr>
      <w:spacing w:before="160"/>
      <w:jc w:val="center"/>
    </w:pPr>
    <w:rPr>
      <w:i/>
      <w:iCs/>
      <w:color w:val="404040" w:themeColor="text1" w:themeTint="BF"/>
    </w:rPr>
  </w:style>
  <w:style w:type="character" w:customStyle="1" w:styleId="QuoteChar">
    <w:name w:val="Quote Char"/>
    <w:basedOn w:val="DefaultParagraphFont"/>
    <w:link w:val="Quote"/>
    <w:uiPriority w:val="29"/>
    <w:rsid w:val="005A0F56"/>
    <w:rPr>
      <w:i/>
      <w:iCs/>
      <w:color w:val="404040" w:themeColor="text1" w:themeTint="BF"/>
    </w:rPr>
  </w:style>
  <w:style w:type="paragraph" w:styleId="ListParagraph">
    <w:name w:val="List Paragraph"/>
    <w:basedOn w:val="Normal"/>
    <w:uiPriority w:val="34"/>
    <w:qFormat/>
    <w:rsid w:val="005A0F56"/>
    <w:pPr>
      <w:ind w:left="720"/>
      <w:contextualSpacing/>
    </w:pPr>
  </w:style>
  <w:style w:type="character" w:styleId="IntenseEmphasis">
    <w:name w:val="Intense Emphasis"/>
    <w:basedOn w:val="DefaultParagraphFont"/>
    <w:uiPriority w:val="21"/>
    <w:qFormat/>
    <w:rsid w:val="005A0F56"/>
    <w:rPr>
      <w:i/>
      <w:iCs/>
      <w:color w:val="0F4761" w:themeColor="accent1" w:themeShade="BF"/>
    </w:rPr>
  </w:style>
  <w:style w:type="paragraph" w:styleId="IntenseQuote">
    <w:name w:val="Intense Quote"/>
    <w:basedOn w:val="Normal"/>
    <w:next w:val="Normal"/>
    <w:link w:val="IntenseQuoteChar"/>
    <w:uiPriority w:val="30"/>
    <w:qFormat/>
    <w:rsid w:val="005A0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F56"/>
    <w:rPr>
      <w:i/>
      <w:iCs/>
      <w:color w:val="0F4761" w:themeColor="accent1" w:themeShade="BF"/>
    </w:rPr>
  </w:style>
  <w:style w:type="character" w:styleId="IntenseReference">
    <w:name w:val="Intense Reference"/>
    <w:basedOn w:val="DefaultParagraphFont"/>
    <w:uiPriority w:val="32"/>
    <w:qFormat/>
    <w:rsid w:val="005A0F56"/>
    <w:rPr>
      <w:b/>
      <w:bCs/>
      <w:smallCaps/>
      <w:color w:val="0F4761" w:themeColor="accent1" w:themeShade="BF"/>
      <w:spacing w:val="5"/>
    </w:rPr>
  </w:style>
  <w:style w:type="character" w:styleId="Hyperlink">
    <w:name w:val="Hyperlink"/>
    <w:basedOn w:val="DefaultParagraphFont"/>
    <w:uiPriority w:val="99"/>
    <w:unhideWhenUsed/>
    <w:rsid w:val="000575AA"/>
    <w:rPr>
      <w:color w:val="467886" w:themeColor="hyperlink"/>
      <w:u w:val="single"/>
    </w:rPr>
  </w:style>
  <w:style w:type="character" w:styleId="UnresolvedMention">
    <w:name w:val="Unresolved Mention"/>
    <w:basedOn w:val="DefaultParagraphFont"/>
    <w:uiPriority w:val="99"/>
    <w:semiHidden/>
    <w:unhideWhenUsed/>
    <w:rsid w:val="000575AA"/>
    <w:rPr>
      <w:color w:val="605E5C"/>
      <w:shd w:val="clear" w:color="auto" w:fill="E1DFDD"/>
    </w:rPr>
  </w:style>
  <w:style w:type="table" w:styleId="TableGrid">
    <w:name w:val="Table Grid"/>
    <w:basedOn w:val="TableNormal"/>
    <w:uiPriority w:val="39"/>
    <w:rsid w:val="008C4A3D"/>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756C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56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0">
      <w:bodyDiv w:val="1"/>
      <w:marLeft w:val="0"/>
      <w:marRight w:val="0"/>
      <w:marTop w:val="0"/>
      <w:marBottom w:val="0"/>
      <w:divBdr>
        <w:top w:val="none" w:sz="0" w:space="0" w:color="auto"/>
        <w:left w:val="none" w:sz="0" w:space="0" w:color="auto"/>
        <w:bottom w:val="none" w:sz="0" w:space="0" w:color="auto"/>
        <w:right w:val="none" w:sz="0" w:space="0" w:color="auto"/>
      </w:divBdr>
    </w:div>
    <w:div w:id="76905773">
      <w:bodyDiv w:val="1"/>
      <w:marLeft w:val="0"/>
      <w:marRight w:val="0"/>
      <w:marTop w:val="0"/>
      <w:marBottom w:val="0"/>
      <w:divBdr>
        <w:top w:val="none" w:sz="0" w:space="0" w:color="auto"/>
        <w:left w:val="none" w:sz="0" w:space="0" w:color="auto"/>
        <w:bottom w:val="none" w:sz="0" w:space="0" w:color="auto"/>
        <w:right w:val="none" w:sz="0" w:space="0" w:color="auto"/>
      </w:divBdr>
    </w:div>
    <w:div w:id="80299265">
      <w:bodyDiv w:val="1"/>
      <w:marLeft w:val="0"/>
      <w:marRight w:val="0"/>
      <w:marTop w:val="0"/>
      <w:marBottom w:val="0"/>
      <w:divBdr>
        <w:top w:val="none" w:sz="0" w:space="0" w:color="auto"/>
        <w:left w:val="none" w:sz="0" w:space="0" w:color="auto"/>
        <w:bottom w:val="none" w:sz="0" w:space="0" w:color="auto"/>
        <w:right w:val="none" w:sz="0" w:space="0" w:color="auto"/>
      </w:divBdr>
    </w:div>
    <w:div w:id="88938867">
      <w:bodyDiv w:val="1"/>
      <w:marLeft w:val="0"/>
      <w:marRight w:val="0"/>
      <w:marTop w:val="0"/>
      <w:marBottom w:val="0"/>
      <w:divBdr>
        <w:top w:val="none" w:sz="0" w:space="0" w:color="auto"/>
        <w:left w:val="none" w:sz="0" w:space="0" w:color="auto"/>
        <w:bottom w:val="none" w:sz="0" w:space="0" w:color="auto"/>
        <w:right w:val="none" w:sz="0" w:space="0" w:color="auto"/>
      </w:divBdr>
    </w:div>
    <w:div w:id="133571330">
      <w:bodyDiv w:val="1"/>
      <w:marLeft w:val="0"/>
      <w:marRight w:val="0"/>
      <w:marTop w:val="0"/>
      <w:marBottom w:val="0"/>
      <w:divBdr>
        <w:top w:val="none" w:sz="0" w:space="0" w:color="auto"/>
        <w:left w:val="none" w:sz="0" w:space="0" w:color="auto"/>
        <w:bottom w:val="none" w:sz="0" w:space="0" w:color="auto"/>
        <w:right w:val="none" w:sz="0" w:space="0" w:color="auto"/>
      </w:divBdr>
    </w:div>
    <w:div w:id="166794880">
      <w:bodyDiv w:val="1"/>
      <w:marLeft w:val="0"/>
      <w:marRight w:val="0"/>
      <w:marTop w:val="0"/>
      <w:marBottom w:val="0"/>
      <w:divBdr>
        <w:top w:val="none" w:sz="0" w:space="0" w:color="auto"/>
        <w:left w:val="none" w:sz="0" w:space="0" w:color="auto"/>
        <w:bottom w:val="none" w:sz="0" w:space="0" w:color="auto"/>
        <w:right w:val="none" w:sz="0" w:space="0" w:color="auto"/>
      </w:divBdr>
    </w:div>
    <w:div w:id="191921786">
      <w:bodyDiv w:val="1"/>
      <w:marLeft w:val="0"/>
      <w:marRight w:val="0"/>
      <w:marTop w:val="0"/>
      <w:marBottom w:val="0"/>
      <w:divBdr>
        <w:top w:val="none" w:sz="0" w:space="0" w:color="auto"/>
        <w:left w:val="none" w:sz="0" w:space="0" w:color="auto"/>
        <w:bottom w:val="none" w:sz="0" w:space="0" w:color="auto"/>
        <w:right w:val="none" w:sz="0" w:space="0" w:color="auto"/>
      </w:divBdr>
    </w:div>
    <w:div w:id="235554523">
      <w:bodyDiv w:val="1"/>
      <w:marLeft w:val="0"/>
      <w:marRight w:val="0"/>
      <w:marTop w:val="0"/>
      <w:marBottom w:val="0"/>
      <w:divBdr>
        <w:top w:val="none" w:sz="0" w:space="0" w:color="auto"/>
        <w:left w:val="none" w:sz="0" w:space="0" w:color="auto"/>
        <w:bottom w:val="none" w:sz="0" w:space="0" w:color="auto"/>
        <w:right w:val="none" w:sz="0" w:space="0" w:color="auto"/>
      </w:divBdr>
    </w:div>
    <w:div w:id="251083771">
      <w:bodyDiv w:val="1"/>
      <w:marLeft w:val="0"/>
      <w:marRight w:val="0"/>
      <w:marTop w:val="0"/>
      <w:marBottom w:val="0"/>
      <w:divBdr>
        <w:top w:val="none" w:sz="0" w:space="0" w:color="auto"/>
        <w:left w:val="none" w:sz="0" w:space="0" w:color="auto"/>
        <w:bottom w:val="none" w:sz="0" w:space="0" w:color="auto"/>
        <w:right w:val="none" w:sz="0" w:space="0" w:color="auto"/>
      </w:divBdr>
    </w:div>
    <w:div w:id="255477150">
      <w:bodyDiv w:val="1"/>
      <w:marLeft w:val="0"/>
      <w:marRight w:val="0"/>
      <w:marTop w:val="0"/>
      <w:marBottom w:val="0"/>
      <w:divBdr>
        <w:top w:val="none" w:sz="0" w:space="0" w:color="auto"/>
        <w:left w:val="none" w:sz="0" w:space="0" w:color="auto"/>
        <w:bottom w:val="none" w:sz="0" w:space="0" w:color="auto"/>
        <w:right w:val="none" w:sz="0" w:space="0" w:color="auto"/>
      </w:divBdr>
    </w:div>
    <w:div w:id="438912873">
      <w:bodyDiv w:val="1"/>
      <w:marLeft w:val="0"/>
      <w:marRight w:val="0"/>
      <w:marTop w:val="0"/>
      <w:marBottom w:val="0"/>
      <w:divBdr>
        <w:top w:val="none" w:sz="0" w:space="0" w:color="auto"/>
        <w:left w:val="none" w:sz="0" w:space="0" w:color="auto"/>
        <w:bottom w:val="none" w:sz="0" w:space="0" w:color="auto"/>
        <w:right w:val="none" w:sz="0" w:space="0" w:color="auto"/>
      </w:divBdr>
    </w:div>
    <w:div w:id="520123392">
      <w:bodyDiv w:val="1"/>
      <w:marLeft w:val="0"/>
      <w:marRight w:val="0"/>
      <w:marTop w:val="0"/>
      <w:marBottom w:val="0"/>
      <w:divBdr>
        <w:top w:val="none" w:sz="0" w:space="0" w:color="auto"/>
        <w:left w:val="none" w:sz="0" w:space="0" w:color="auto"/>
        <w:bottom w:val="none" w:sz="0" w:space="0" w:color="auto"/>
        <w:right w:val="none" w:sz="0" w:space="0" w:color="auto"/>
      </w:divBdr>
    </w:div>
    <w:div w:id="532957470">
      <w:bodyDiv w:val="1"/>
      <w:marLeft w:val="0"/>
      <w:marRight w:val="0"/>
      <w:marTop w:val="0"/>
      <w:marBottom w:val="0"/>
      <w:divBdr>
        <w:top w:val="none" w:sz="0" w:space="0" w:color="auto"/>
        <w:left w:val="none" w:sz="0" w:space="0" w:color="auto"/>
        <w:bottom w:val="none" w:sz="0" w:space="0" w:color="auto"/>
        <w:right w:val="none" w:sz="0" w:space="0" w:color="auto"/>
      </w:divBdr>
    </w:div>
    <w:div w:id="539124317">
      <w:bodyDiv w:val="1"/>
      <w:marLeft w:val="0"/>
      <w:marRight w:val="0"/>
      <w:marTop w:val="0"/>
      <w:marBottom w:val="0"/>
      <w:divBdr>
        <w:top w:val="none" w:sz="0" w:space="0" w:color="auto"/>
        <w:left w:val="none" w:sz="0" w:space="0" w:color="auto"/>
        <w:bottom w:val="none" w:sz="0" w:space="0" w:color="auto"/>
        <w:right w:val="none" w:sz="0" w:space="0" w:color="auto"/>
      </w:divBdr>
    </w:div>
    <w:div w:id="572935423">
      <w:bodyDiv w:val="1"/>
      <w:marLeft w:val="0"/>
      <w:marRight w:val="0"/>
      <w:marTop w:val="0"/>
      <w:marBottom w:val="0"/>
      <w:divBdr>
        <w:top w:val="none" w:sz="0" w:space="0" w:color="auto"/>
        <w:left w:val="none" w:sz="0" w:space="0" w:color="auto"/>
        <w:bottom w:val="none" w:sz="0" w:space="0" w:color="auto"/>
        <w:right w:val="none" w:sz="0" w:space="0" w:color="auto"/>
      </w:divBdr>
    </w:div>
    <w:div w:id="595016499">
      <w:bodyDiv w:val="1"/>
      <w:marLeft w:val="0"/>
      <w:marRight w:val="0"/>
      <w:marTop w:val="0"/>
      <w:marBottom w:val="0"/>
      <w:divBdr>
        <w:top w:val="none" w:sz="0" w:space="0" w:color="auto"/>
        <w:left w:val="none" w:sz="0" w:space="0" w:color="auto"/>
        <w:bottom w:val="none" w:sz="0" w:space="0" w:color="auto"/>
        <w:right w:val="none" w:sz="0" w:space="0" w:color="auto"/>
      </w:divBdr>
    </w:div>
    <w:div w:id="661931965">
      <w:bodyDiv w:val="1"/>
      <w:marLeft w:val="0"/>
      <w:marRight w:val="0"/>
      <w:marTop w:val="0"/>
      <w:marBottom w:val="0"/>
      <w:divBdr>
        <w:top w:val="none" w:sz="0" w:space="0" w:color="auto"/>
        <w:left w:val="none" w:sz="0" w:space="0" w:color="auto"/>
        <w:bottom w:val="none" w:sz="0" w:space="0" w:color="auto"/>
        <w:right w:val="none" w:sz="0" w:space="0" w:color="auto"/>
      </w:divBdr>
    </w:div>
    <w:div w:id="677737028">
      <w:bodyDiv w:val="1"/>
      <w:marLeft w:val="0"/>
      <w:marRight w:val="0"/>
      <w:marTop w:val="0"/>
      <w:marBottom w:val="0"/>
      <w:divBdr>
        <w:top w:val="none" w:sz="0" w:space="0" w:color="auto"/>
        <w:left w:val="none" w:sz="0" w:space="0" w:color="auto"/>
        <w:bottom w:val="none" w:sz="0" w:space="0" w:color="auto"/>
        <w:right w:val="none" w:sz="0" w:space="0" w:color="auto"/>
      </w:divBdr>
    </w:div>
    <w:div w:id="732117702">
      <w:bodyDiv w:val="1"/>
      <w:marLeft w:val="0"/>
      <w:marRight w:val="0"/>
      <w:marTop w:val="0"/>
      <w:marBottom w:val="0"/>
      <w:divBdr>
        <w:top w:val="none" w:sz="0" w:space="0" w:color="auto"/>
        <w:left w:val="none" w:sz="0" w:space="0" w:color="auto"/>
        <w:bottom w:val="none" w:sz="0" w:space="0" w:color="auto"/>
        <w:right w:val="none" w:sz="0" w:space="0" w:color="auto"/>
      </w:divBdr>
    </w:div>
    <w:div w:id="752506289">
      <w:bodyDiv w:val="1"/>
      <w:marLeft w:val="0"/>
      <w:marRight w:val="0"/>
      <w:marTop w:val="0"/>
      <w:marBottom w:val="0"/>
      <w:divBdr>
        <w:top w:val="none" w:sz="0" w:space="0" w:color="auto"/>
        <w:left w:val="none" w:sz="0" w:space="0" w:color="auto"/>
        <w:bottom w:val="none" w:sz="0" w:space="0" w:color="auto"/>
        <w:right w:val="none" w:sz="0" w:space="0" w:color="auto"/>
      </w:divBdr>
    </w:div>
    <w:div w:id="807819678">
      <w:bodyDiv w:val="1"/>
      <w:marLeft w:val="0"/>
      <w:marRight w:val="0"/>
      <w:marTop w:val="0"/>
      <w:marBottom w:val="0"/>
      <w:divBdr>
        <w:top w:val="none" w:sz="0" w:space="0" w:color="auto"/>
        <w:left w:val="none" w:sz="0" w:space="0" w:color="auto"/>
        <w:bottom w:val="none" w:sz="0" w:space="0" w:color="auto"/>
        <w:right w:val="none" w:sz="0" w:space="0" w:color="auto"/>
      </w:divBdr>
    </w:div>
    <w:div w:id="868953945">
      <w:bodyDiv w:val="1"/>
      <w:marLeft w:val="0"/>
      <w:marRight w:val="0"/>
      <w:marTop w:val="0"/>
      <w:marBottom w:val="0"/>
      <w:divBdr>
        <w:top w:val="none" w:sz="0" w:space="0" w:color="auto"/>
        <w:left w:val="none" w:sz="0" w:space="0" w:color="auto"/>
        <w:bottom w:val="none" w:sz="0" w:space="0" w:color="auto"/>
        <w:right w:val="none" w:sz="0" w:space="0" w:color="auto"/>
      </w:divBdr>
    </w:div>
    <w:div w:id="947200405">
      <w:bodyDiv w:val="1"/>
      <w:marLeft w:val="0"/>
      <w:marRight w:val="0"/>
      <w:marTop w:val="0"/>
      <w:marBottom w:val="0"/>
      <w:divBdr>
        <w:top w:val="none" w:sz="0" w:space="0" w:color="auto"/>
        <w:left w:val="none" w:sz="0" w:space="0" w:color="auto"/>
        <w:bottom w:val="none" w:sz="0" w:space="0" w:color="auto"/>
        <w:right w:val="none" w:sz="0" w:space="0" w:color="auto"/>
      </w:divBdr>
    </w:div>
    <w:div w:id="981926676">
      <w:bodyDiv w:val="1"/>
      <w:marLeft w:val="0"/>
      <w:marRight w:val="0"/>
      <w:marTop w:val="0"/>
      <w:marBottom w:val="0"/>
      <w:divBdr>
        <w:top w:val="none" w:sz="0" w:space="0" w:color="auto"/>
        <w:left w:val="none" w:sz="0" w:space="0" w:color="auto"/>
        <w:bottom w:val="none" w:sz="0" w:space="0" w:color="auto"/>
        <w:right w:val="none" w:sz="0" w:space="0" w:color="auto"/>
      </w:divBdr>
    </w:div>
    <w:div w:id="1018893998">
      <w:bodyDiv w:val="1"/>
      <w:marLeft w:val="0"/>
      <w:marRight w:val="0"/>
      <w:marTop w:val="0"/>
      <w:marBottom w:val="0"/>
      <w:divBdr>
        <w:top w:val="none" w:sz="0" w:space="0" w:color="auto"/>
        <w:left w:val="none" w:sz="0" w:space="0" w:color="auto"/>
        <w:bottom w:val="none" w:sz="0" w:space="0" w:color="auto"/>
        <w:right w:val="none" w:sz="0" w:space="0" w:color="auto"/>
      </w:divBdr>
    </w:div>
    <w:div w:id="1038049281">
      <w:bodyDiv w:val="1"/>
      <w:marLeft w:val="0"/>
      <w:marRight w:val="0"/>
      <w:marTop w:val="0"/>
      <w:marBottom w:val="0"/>
      <w:divBdr>
        <w:top w:val="none" w:sz="0" w:space="0" w:color="auto"/>
        <w:left w:val="none" w:sz="0" w:space="0" w:color="auto"/>
        <w:bottom w:val="none" w:sz="0" w:space="0" w:color="auto"/>
        <w:right w:val="none" w:sz="0" w:space="0" w:color="auto"/>
      </w:divBdr>
    </w:div>
    <w:div w:id="1116214594">
      <w:bodyDiv w:val="1"/>
      <w:marLeft w:val="0"/>
      <w:marRight w:val="0"/>
      <w:marTop w:val="0"/>
      <w:marBottom w:val="0"/>
      <w:divBdr>
        <w:top w:val="none" w:sz="0" w:space="0" w:color="auto"/>
        <w:left w:val="none" w:sz="0" w:space="0" w:color="auto"/>
        <w:bottom w:val="none" w:sz="0" w:space="0" w:color="auto"/>
        <w:right w:val="none" w:sz="0" w:space="0" w:color="auto"/>
      </w:divBdr>
    </w:div>
    <w:div w:id="1125007626">
      <w:bodyDiv w:val="1"/>
      <w:marLeft w:val="0"/>
      <w:marRight w:val="0"/>
      <w:marTop w:val="0"/>
      <w:marBottom w:val="0"/>
      <w:divBdr>
        <w:top w:val="none" w:sz="0" w:space="0" w:color="auto"/>
        <w:left w:val="none" w:sz="0" w:space="0" w:color="auto"/>
        <w:bottom w:val="none" w:sz="0" w:space="0" w:color="auto"/>
        <w:right w:val="none" w:sz="0" w:space="0" w:color="auto"/>
      </w:divBdr>
    </w:div>
    <w:div w:id="1139221783">
      <w:bodyDiv w:val="1"/>
      <w:marLeft w:val="0"/>
      <w:marRight w:val="0"/>
      <w:marTop w:val="0"/>
      <w:marBottom w:val="0"/>
      <w:divBdr>
        <w:top w:val="none" w:sz="0" w:space="0" w:color="auto"/>
        <w:left w:val="none" w:sz="0" w:space="0" w:color="auto"/>
        <w:bottom w:val="none" w:sz="0" w:space="0" w:color="auto"/>
        <w:right w:val="none" w:sz="0" w:space="0" w:color="auto"/>
      </w:divBdr>
    </w:div>
    <w:div w:id="1196767468">
      <w:bodyDiv w:val="1"/>
      <w:marLeft w:val="0"/>
      <w:marRight w:val="0"/>
      <w:marTop w:val="0"/>
      <w:marBottom w:val="0"/>
      <w:divBdr>
        <w:top w:val="none" w:sz="0" w:space="0" w:color="auto"/>
        <w:left w:val="none" w:sz="0" w:space="0" w:color="auto"/>
        <w:bottom w:val="none" w:sz="0" w:space="0" w:color="auto"/>
        <w:right w:val="none" w:sz="0" w:space="0" w:color="auto"/>
      </w:divBdr>
    </w:div>
    <w:div w:id="1200825013">
      <w:bodyDiv w:val="1"/>
      <w:marLeft w:val="0"/>
      <w:marRight w:val="0"/>
      <w:marTop w:val="0"/>
      <w:marBottom w:val="0"/>
      <w:divBdr>
        <w:top w:val="none" w:sz="0" w:space="0" w:color="auto"/>
        <w:left w:val="none" w:sz="0" w:space="0" w:color="auto"/>
        <w:bottom w:val="none" w:sz="0" w:space="0" w:color="auto"/>
        <w:right w:val="none" w:sz="0" w:space="0" w:color="auto"/>
      </w:divBdr>
    </w:div>
    <w:div w:id="1213737211">
      <w:bodyDiv w:val="1"/>
      <w:marLeft w:val="0"/>
      <w:marRight w:val="0"/>
      <w:marTop w:val="0"/>
      <w:marBottom w:val="0"/>
      <w:divBdr>
        <w:top w:val="none" w:sz="0" w:space="0" w:color="auto"/>
        <w:left w:val="none" w:sz="0" w:space="0" w:color="auto"/>
        <w:bottom w:val="none" w:sz="0" w:space="0" w:color="auto"/>
        <w:right w:val="none" w:sz="0" w:space="0" w:color="auto"/>
      </w:divBdr>
    </w:div>
    <w:div w:id="1247039090">
      <w:bodyDiv w:val="1"/>
      <w:marLeft w:val="0"/>
      <w:marRight w:val="0"/>
      <w:marTop w:val="0"/>
      <w:marBottom w:val="0"/>
      <w:divBdr>
        <w:top w:val="none" w:sz="0" w:space="0" w:color="auto"/>
        <w:left w:val="none" w:sz="0" w:space="0" w:color="auto"/>
        <w:bottom w:val="none" w:sz="0" w:space="0" w:color="auto"/>
        <w:right w:val="none" w:sz="0" w:space="0" w:color="auto"/>
      </w:divBdr>
    </w:div>
    <w:div w:id="1407189147">
      <w:bodyDiv w:val="1"/>
      <w:marLeft w:val="0"/>
      <w:marRight w:val="0"/>
      <w:marTop w:val="0"/>
      <w:marBottom w:val="0"/>
      <w:divBdr>
        <w:top w:val="none" w:sz="0" w:space="0" w:color="auto"/>
        <w:left w:val="none" w:sz="0" w:space="0" w:color="auto"/>
        <w:bottom w:val="none" w:sz="0" w:space="0" w:color="auto"/>
        <w:right w:val="none" w:sz="0" w:space="0" w:color="auto"/>
      </w:divBdr>
    </w:div>
    <w:div w:id="1511021140">
      <w:bodyDiv w:val="1"/>
      <w:marLeft w:val="0"/>
      <w:marRight w:val="0"/>
      <w:marTop w:val="0"/>
      <w:marBottom w:val="0"/>
      <w:divBdr>
        <w:top w:val="none" w:sz="0" w:space="0" w:color="auto"/>
        <w:left w:val="none" w:sz="0" w:space="0" w:color="auto"/>
        <w:bottom w:val="none" w:sz="0" w:space="0" w:color="auto"/>
        <w:right w:val="none" w:sz="0" w:space="0" w:color="auto"/>
      </w:divBdr>
    </w:div>
    <w:div w:id="1548948424">
      <w:bodyDiv w:val="1"/>
      <w:marLeft w:val="0"/>
      <w:marRight w:val="0"/>
      <w:marTop w:val="0"/>
      <w:marBottom w:val="0"/>
      <w:divBdr>
        <w:top w:val="none" w:sz="0" w:space="0" w:color="auto"/>
        <w:left w:val="none" w:sz="0" w:space="0" w:color="auto"/>
        <w:bottom w:val="none" w:sz="0" w:space="0" w:color="auto"/>
        <w:right w:val="none" w:sz="0" w:space="0" w:color="auto"/>
      </w:divBdr>
    </w:div>
    <w:div w:id="1562516112">
      <w:bodyDiv w:val="1"/>
      <w:marLeft w:val="0"/>
      <w:marRight w:val="0"/>
      <w:marTop w:val="0"/>
      <w:marBottom w:val="0"/>
      <w:divBdr>
        <w:top w:val="none" w:sz="0" w:space="0" w:color="auto"/>
        <w:left w:val="none" w:sz="0" w:space="0" w:color="auto"/>
        <w:bottom w:val="none" w:sz="0" w:space="0" w:color="auto"/>
        <w:right w:val="none" w:sz="0" w:space="0" w:color="auto"/>
      </w:divBdr>
    </w:div>
    <w:div w:id="1576819193">
      <w:bodyDiv w:val="1"/>
      <w:marLeft w:val="0"/>
      <w:marRight w:val="0"/>
      <w:marTop w:val="0"/>
      <w:marBottom w:val="0"/>
      <w:divBdr>
        <w:top w:val="none" w:sz="0" w:space="0" w:color="auto"/>
        <w:left w:val="none" w:sz="0" w:space="0" w:color="auto"/>
        <w:bottom w:val="none" w:sz="0" w:space="0" w:color="auto"/>
        <w:right w:val="none" w:sz="0" w:space="0" w:color="auto"/>
      </w:divBdr>
    </w:div>
    <w:div w:id="1594850857">
      <w:bodyDiv w:val="1"/>
      <w:marLeft w:val="0"/>
      <w:marRight w:val="0"/>
      <w:marTop w:val="0"/>
      <w:marBottom w:val="0"/>
      <w:divBdr>
        <w:top w:val="none" w:sz="0" w:space="0" w:color="auto"/>
        <w:left w:val="none" w:sz="0" w:space="0" w:color="auto"/>
        <w:bottom w:val="none" w:sz="0" w:space="0" w:color="auto"/>
        <w:right w:val="none" w:sz="0" w:space="0" w:color="auto"/>
      </w:divBdr>
    </w:div>
    <w:div w:id="1640108082">
      <w:bodyDiv w:val="1"/>
      <w:marLeft w:val="0"/>
      <w:marRight w:val="0"/>
      <w:marTop w:val="0"/>
      <w:marBottom w:val="0"/>
      <w:divBdr>
        <w:top w:val="none" w:sz="0" w:space="0" w:color="auto"/>
        <w:left w:val="none" w:sz="0" w:space="0" w:color="auto"/>
        <w:bottom w:val="none" w:sz="0" w:space="0" w:color="auto"/>
        <w:right w:val="none" w:sz="0" w:space="0" w:color="auto"/>
      </w:divBdr>
    </w:div>
    <w:div w:id="1710715271">
      <w:bodyDiv w:val="1"/>
      <w:marLeft w:val="0"/>
      <w:marRight w:val="0"/>
      <w:marTop w:val="0"/>
      <w:marBottom w:val="0"/>
      <w:divBdr>
        <w:top w:val="none" w:sz="0" w:space="0" w:color="auto"/>
        <w:left w:val="none" w:sz="0" w:space="0" w:color="auto"/>
        <w:bottom w:val="none" w:sz="0" w:space="0" w:color="auto"/>
        <w:right w:val="none" w:sz="0" w:space="0" w:color="auto"/>
      </w:divBdr>
    </w:div>
    <w:div w:id="1718041973">
      <w:bodyDiv w:val="1"/>
      <w:marLeft w:val="0"/>
      <w:marRight w:val="0"/>
      <w:marTop w:val="0"/>
      <w:marBottom w:val="0"/>
      <w:divBdr>
        <w:top w:val="none" w:sz="0" w:space="0" w:color="auto"/>
        <w:left w:val="none" w:sz="0" w:space="0" w:color="auto"/>
        <w:bottom w:val="none" w:sz="0" w:space="0" w:color="auto"/>
        <w:right w:val="none" w:sz="0" w:space="0" w:color="auto"/>
      </w:divBdr>
    </w:div>
    <w:div w:id="1817917151">
      <w:bodyDiv w:val="1"/>
      <w:marLeft w:val="0"/>
      <w:marRight w:val="0"/>
      <w:marTop w:val="0"/>
      <w:marBottom w:val="0"/>
      <w:divBdr>
        <w:top w:val="none" w:sz="0" w:space="0" w:color="auto"/>
        <w:left w:val="none" w:sz="0" w:space="0" w:color="auto"/>
        <w:bottom w:val="none" w:sz="0" w:space="0" w:color="auto"/>
        <w:right w:val="none" w:sz="0" w:space="0" w:color="auto"/>
      </w:divBdr>
    </w:div>
    <w:div w:id="1832790353">
      <w:bodyDiv w:val="1"/>
      <w:marLeft w:val="0"/>
      <w:marRight w:val="0"/>
      <w:marTop w:val="0"/>
      <w:marBottom w:val="0"/>
      <w:divBdr>
        <w:top w:val="none" w:sz="0" w:space="0" w:color="auto"/>
        <w:left w:val="none" w:sz="0" w:space="0" w:color="auto"/>
        <w:bottom w:val="none" w:sz="0" w:space="0" w:color="auto"/>
        <w:right w:val="none" w:sz="0" w:space="0" w:color="auto"/>
      </w:divBdr>
    </w:div>
    <w:div w:id="209966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1548</Words>
  <Characters>8826</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Augustine</dc:creator>
  <cp:keywords/>
  <dc:description/>
  <cp:lastModifiedBy>Akhil Augustine</cp:lastModifiedBy>
  <cp:revision>2</cp:revision>
  <dcterms:created xsi:type="dcterms:W3CDTF">2025-04-08T03:42:00Z</dcterms:created>
  <dcterms:modified xsi:type="dcterms:W3CDTF">2025-04-08T03:42:00Z</dcterms:modified>
</cp:coreProperties>
</file>