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1559F" w14:textId="0F170069" w:rsidR="008167CD" w:rsidRPr="008167CD" w:rsidRDefault="008167CD">
      <w:pPr>
        <w:rPr>
          <w:rFonts w:ascii="Times New Roman" w:hAnsi="Times New Roman" w:cs="Times New Roman"/>
          <w:b/>
          <w:bCs/>
          <w:u w:val="single"/>
        </w:rPr>
      </w:pPr>
      <w:bookmarkStart w:id="0" w:name="_Hlk188902495"/>
      <w:r w:rsidRPr="008167CD">
        <w:rPr>
          <w:rFonts w:ascii="Times New Roman" w:hAnsi="Times New Roman" w:cs="Times New Roman"/>
          <w:b/>
          <w:bCs/>
          <w:u w:val="single"/>
        </w:rPr>
        <w:t>Analysis and Insights</w:t>
      </w:r>
    </w:p>
    <w:p w14:paraId="467C9C8C" w14:textId="2AFB6D00" w:rsidR="00AC3A21" w:rsidRPr="008167CD" w:rsidRDefault="54C3E1E2">
      <w:pPr>
        <w:rPr>
          <w:rFonts w:ascii="Times New Roman" w:hAnsi="Times New Roman" w:cs="Times New Roman"/>
        </w:rPr>
      </w:pPr>
      <w:r w:rsidRPr="008167CD">
        <w:rPr>
          <w:rFonts w:ascii="Times New Roman" w:hAnsi="Times New Roman" w:cs="Times New Roman"/>
        </w:rPr>
        <w:t>Monthly cost price difference</w:t>
      </w:r>
      <w:r w:rsidR="55F3DCA2" w:rsidRPr="008167CD">
        <w:rPr>
          <w:rFonts w:ascii="Times New Roman" w:hAnsi="Times New Roman" w:cs="Times New Roman"/>
        </w:rPr>
        <w:t xml:space="preserve"> – Taken top 6 high valued tickers</w:t>
      </w:r>
      <w:r w:rsidR="7FFE4B2C" w:rsidRPr="008167CD">
        <w:rPr>
          <w:rFonts w:ascii="Times New Roman" w:hAnsi="Times New Roman" w:cs="Times New Roman"/>
        </w:rPr>
        <w:t xml:space="preserve"> (</w:t>
      </w:r>
      <w:r w:rsidR="00635EE4" w:rsidRPr="008167CD">
        <w:rPr>
          <w:rFonts w:ascii="Times New Roman" w:hAnsi="Times New Roman" w:cs="Times New Roman"/>
        </w:rPr>
        <w:t xml:space="preserve">highest </w:t>
      </w:r>
      <w:r w:rsidR="7FFE4B2C" w:rsidRPr="008167CD">
        <w:rPr>
          <w:rFonts w:ascii="Times New Roman" w:hAnsi="Times New Roman" w:cs="Times New Roman"/>
        </w:rPr>
        <w:t>Volume* C</w:t>
      </w:r>
      <w:r w:rsidR="00D01B88" w:rsidRPr="008167CD">
        <w:rPr>
          <w:rFonts w:ascii="Times New Roman" w:hAnsi="Times New Roman" w:cs="Times New Roman"/>
        </w:rPr>
        <w:t>lose value</w:t>
      </w:r>
      <w:r w:rsidR="7FFE4B2C" w:rsidRPr="008167CD">
        <w:rPr>
          <w:rFonts w:ascii="Times New Roman" w:hAnsi="Times New Roman" w:cs="Times New Roman"/>
        </w:rPr>
        <w:t>)</w:t>
      </w:r>
      <w:r w:rsidR="55F3DCA2" w:rsidRPr="008167CD">
        <w:rPr>
          <w:rFonts w:ascii="Times New Roman" w:hAnsi="Times New Roman" w:cs="Times New Roman"/>
        </w:rPr>
        <w:t xml:space="preserve"> or company to understand the cost price deflection compared to the cost </w:t>
      </w:r>
      <w:r w:rsidR="459B1D2B" w:rsidRPr="008167CD">
        <w:rPr>
          <w:rFonts w:ascii="Times New Roman" w:hAnsi="Times New Roman" w:cs="Times New Roman"/>
        </w:rPr>
        <w:t>price of the start day.</w:t>
      </w:r>
    </w:p>
    <w:p w14:paraId="25916921" w14:textId="27529E80" w:rsidR="00AC3A21" w:rsidRPr="008167CD" w:rsidRDefault="1A6F4AD8">
      <w:pPr>
        <w:rPr>
          <w:rFonts w:ascii="Times New Roman" w:hAnsi="Times New Roman" w:cs="Times New Roman"/>
        </w:rPr>
      </w:pPr>
      <w:r w:rsidRPr="008167CD">
        <w:rPr>
          <w:rFonts w:ascii="Times New Roman" w:hAnsi="Times New Roman" w:cs="Times New Roman"/>
        </w:rPr>
        <w:t>Top 6 high valued sectors are: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5EECCAC3" w:rsidRPr="008167CD" w14:paraId="38339B8B" w14:textId="77777777" w:rsidTr="00A92E00">
        <w:trPr>
          <w:trHeight w:val="300"/>
        </w:trPr>
        <w:tc>
          <w:tcPr>
            <w:tcW w:w="2254" w:type="dxa"/>
            <w:shd w:val="clear" w:color="auto" w:fill="F6C5AC" w:themeFill="accent2" w:themeFillTint="66"/>
          </w:tcPr>
          <w:p w14:paraId="3F8D331A" w14:textId="4350F79D" w:rsidR="1A6F4AD8" w:rsidRPr="008167CD" w:rsidRDefault="1A6F4AD8" w:rsidP="5EECCAC3">
            <w:pPr>
              <w:rPr>
                <w:rFonts w:ascii="Times New Roman" w:hAnsi="Times New Roman" w:cs="Times New Roman"/>
              </w:rPr>
            </w:pPr>
            <w:r w:rsidRPr="008167CD">
              <w:rPr>
                <w:rFonts w:ascii="Times New Roman" w:hAnsi="Times New Roman" w:cs="Times New Roman"/>
              </w:rPr>
              <w:t>Sector</w:t>
            </w:r>
          </w:p>
        </w:tc>
        <w:tc>
          <w:tcPr>
            <w:tcW w:w="2254" w:type="dxa"/>
            <w:shd w:val="clear" w:color="auto" w:fill="F6C5AC" w:themeFill="accent2" w:themeFillTint="66"/>
          </w:tcPr>
          <w:p w14:paraId="575D89F1" w14:textId="56A52964" w:rsidR="1A6F4AD8" w:rsidRPr="008167CD" w:rsidRDefault="1A6F4AD8" w:rsidP="5EECCAC3">
            <w:pPr>
              <w:rPr>
                <w:rFonts w:ascii="Times New Roman" w:hAnsi="Times New Roman" w:cs="Times New Roman"/>
              </w:rPr>
            </w:pPr>
            <w:r w:rsidRPr="008167CD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2254" w:type="dxa"/>
            <w:shd w:val="clear" w:color="auto" w:fill="F6C5AC" w:themeFill="accent2" w:themeFillTint="66"/>
          </w:tcPr>
          <w:p w14:paraId="6C780095" w14:textId="3A93DDFD" w:rsidR="6D9F546E" w:rsidRPr="008167CD" w:rsidRDefault="6D9F546E" w:rsidP="5EECCAC3">
            <w:pPr>
              <w:rPr>
                <w:rFonts w:ascii="Times New Roman" w:hAnsi="Times New Roman" w:cs="Times New Roman"/>
              </w:rPr>
            </w:pPr>
            <w:r w:rsidRPr="008167CD">
              <w:rPr>
                <w:rFonts w:ascii="Times New Roman" w:hAnsi="Times New Roman" w:cs="Times New Roman"/>
              </w:rPr>
              <w:t>Sector</w:t>
            </w:r>
          </w:p>
        </w:tc>
        <w:tc>
          <w:tcPr>
            <w:tcW w:w="2254" w:type="dxa"/>
            <w:shd w:val="clear" w:color="auto" w:fill="F6C5AC" w:themeFill="accent2" w:themeFillTint="66"/>
          </w:tcPr>
          <w:p w14:paraId="0CA8C878" w14:textId="06B6C20D" w:rsidR="6D9F546E" w:rsidRPr="008167CD" w:rsidRDefault="6D9F546E" w:rsidP="5EECCAC3">
            <w:pPr>
              <w:rPr>
                <w:rFonts w:ascii="Times New Roman" w:hAnsi="Times New Roman" w:cs="Times New Roman"/>
              </w:rPr>
            </w:pPr>
            <w:r w:rsidRPr="008167CD">
              <w:rPr>
                <w:rFonts w:ascii="Times New Roman" w:hAnsi="Times New Roman" w:cs="Times New Roman"/>
              </w:rPr>
              <w:t>Industry</w:t>
            </w:r>
          </w:p>
        </w:tc>
      </w:tr>
      <w:tr w:rsidR="5EECCAC3" w:rsidRPr="008167CD" w14:paraId="29F46A34" w14:textId="77777777" w:rsidTr="5EECCAC3">
        <w:trPr>
          <w:trHeight w:val="300"/>
        </w:trPr>
        <w:tc>
          <w:tcPr>
            <w:tcW w:w="2254" w:type="dxa"/>
          </w:tcPr>
          <w:p w14:paraId="7FFFB23E" w14:textId="7BEFA8AC" w:rsidR="1A6F4AD8" w:rsidRPr="008167CD" w:rsidRDefault="1A6F4AD8" w:rsidP="5EECCAC3">
            <w:pPr>
              <w:rPr>
                <w:rFonts w:ascii="Times New Roman" w:hAnsi="Times New Roman" w:cs="Times New Roman"/>
              </w:rPr>
            </w:pPr>
            <w:r w:rsidRPr="008167CD">
              <w:rPr>
                <w:rFonts w:ascii="Times New Roman" w:hAnsi="Times New Roman" w:cs="Times New Roman"/>
              </w:rPr>
              <w:t>CNQ.TO</w:t>
            </w:r>
          </w:p>
        </w:tc>
        <w:tc>
          <w:tcPr>
            <w:tcW w:w="2254" w:type="dxa"/>
          </w:tcPr>
          <w:p w14:paraId="129DFEC4" w14:textId="2F87FCA5" w:rsidR="1A6F4AD8" w:rsidRPr="008167CD" w:rsidRDefault="1A6F4AD8" w:rsidP="5EECCAC3">
            <w:pPr>
              <w:rPr>
                <w:rFonts w:ascii="Times New Roman" w:hAnsi="Times New Roman" w:cs="Times New Roman"/>
              </w:rPr>
            </w:pPr>
            <w:r w:rsidRPr="008167CD">
              <w:rPr>
                <w:rFonts w:ascii="Times New Roman" w:hAnsi="Times New Roman" w:cs="Times New Roman"/>
              </w:rPr>
              <w:t>CDN NATURAL RES</w:t>
            </w:r>
          </w:p>
        </w:tc>
        <w:tc>
          <w:tcPr>
            <w:tcW w:w="2254" w:type="dxa"/>
          </w:tcPr>
          <w:p w14:paraId="6BD5200D" w14:textId="2C6C3D8C" w:rsidR="1A6F4AD8" w:rsidRPr="008167CD" w:rsidRDefault="1A6F4AD8" w:rsidP="5EECCAC3">
            <w:pPr>
              <w:rPr>
                <w:rFonts w:ascii="Times New Roman" w:hAnsi="Times New Roman" w:cs="Times New Roman"/>
              </w:rPr>
            </w:pPr>
            <w:r w:rsidRPr="008167CD">
              <w:rPr>
                <w:rFonts w:ascii="Times New Roman" w:hAnsi="Times New Roman" w:cs="Times New Roman"/>
              </w:rPr>
              <w:t>Energy</w:t>
            </w:r>
          </w:p>
        </w:tc>
        <w:tc>
          <w:tcPr>
            <w:tcW w:w="2254" w:type="dxa"/>
          </w:tcPr>
          <w:p w14:paraId="73FEBD15" w14:textId="6242CE69" w:rsidR="1A6F4AD8" w:rsidRPr="008167CD" w:rsidRDefault="1A6F4AD8" w:rsidP="5EECCAC3">
            <w:pPr>
              <w:rPr>
                <w:rFonts w:ascii="Times New Roman" w:hAnsi="Times New Roman" w:cs="Times New Roman"/>
              </w:rPr>
            </w:pPr>
            <w:r w:rsidRPr="008167CD">
              <w:rPr>
                <w:rFonts w:ascii="Times New Roman" w:hAnsi="Times New Roman" w:cs="Times New Roman"/>
              </w:rPr>
              <w:t>Oil &amp; Gas E&amp;P</w:t>
            </w:r>
          </w:p>
        </w:tc>
      </w:tr>
      <w:tr w:rsidR="5EECCAC3" w:rsidRPr="008167CD" w14:paraId="3F82455D" w14:textId="77777777" w:rsidTr="5EECCAC3">
        <w:trPr>
          <w:trHeight w:val="300"/>
        </w:trPr>
        <w:tc>
          <w:tcPr>
            <w:tcW w:w="2254" w:type="dxa"/>
          </w:tcPr>
          <w:p w14:paraId="775467DF" w14:textId="4AC3E5D5" w:rsidR="1A6F4AD8" w:rsidRPr="008167CD" w:rsidRDefault="1A6F4AD8" w:rsidP="5EECCAC3">
            <w:pPr>
              <w:rPr>
                <w:rFonts w:ascii="Times New Roman" w:hAnsi="Times New Roman" w:cs="Times New Roman"/>
              </w:rPr>
            </w:pPr>
            <w:r w:rsidRPr="008167CD">
              <w:rPr>
                <w:rFonts w:ascii="Times New Roman" w:hAnsi="Times New Roman" w:cs="Times New Roman"/>
              </w:rPr>
              <w:t>BMO.TO</w:t>
            </w:r>
          </w:p>
        </w:tc>
        <w:tc>
          <w:tcPr>
            <w:tcW w:w="2254" w:type="dxa"/>
          </w:tcPr>
          <w:p w14:paraId="08FDBD19" w14:textId="2369E84A" w:rsidR="1A6F4AD8" w:rsidRPr="008167CD" w:rsidRDefault="1A6F4AD8" w:rsidP="5EECCAC3">
            <w:pPr>
              <w:rPr>
                <w:rFonts w:ascii="Times New Roman" w:hAnsi="Times New Roman" w:cs="Times New Roman"/>
              </w:rPr>
            </w:pPr>
            <w:r w:rsidRPr="008167CD">
              <w:rPr>
                <w:rFonts w:ascii="Times New Roman" w:hAnsi="Times New Roman" w:cs="Times New Roman"/>
              </w:rPr>
              <w:t>BANK OF MONTREAL</w:t>
            </w:r>
          </w:p>
        </w:tc>
        <w:tc>
          <w:tcPr>
            <w:tcW w:w="2254" w:type="dxa"/>
          </w:tcPr>
          <w:p w14:paraId="1FD245C1" w14:textId="50087173" w:rsidR="1A6F4AD8" w:rsidRPr="008167CD" w:rsidRDefault="1A6F4AD8" w:rsidP="5EECCAC3">
            <w:pPr>
              <w:rPr>
                <w:rFonts w:ascii="Times New Roman" w:hAnsi="Times New Roman" w:cs="Times New Roman"/>
              </w:rPr>
            </w:pPr>
            <w:r w:rsidRPr="008167CD">
              <w:rPr>
                <w:rFonts w:ascii="Times New Roman" w:hAnsi="Times New Roman" w:cs="Times New Roman"/>
              </w:rPr>
              <w:t>Financial Services</w:t>
            </w:r>
          </w:p>
        </w:tc>
        <w:tc>
          <w:tcPr>
            <w:tcW w:w="2254" w:type="dxa"/>
          </w:tcPr>
          <w:p w14:paraId="406A8CAF" w14:textId="31940EFE" w:rsidR="1A6F4AD8" w:rsidRPr="008167CD" w:rsidRDefault="1A6F4AD8" w:rsidP="5EECCAC3">
            <w:pPr>
              <w:rPr>
                <w:rFonts w:ascii="Times New Roman" w:hAnsi="Times New Roman" w:cs="Times New Roman"/>
              </w:rPr>
            </w:pPr>
            <w:r w:rsidRPr="008167CD">
              <w:rPr>
                <w:rFonts w:ascii="Times New Roman" w:hAnsi="Times New Roman" w:cs="Times New Roman"/>
              </w:rPr>
              <w:t>Banks - Diversified</w:t>
            </w:r>
          </w:p>
        </w:tc>
      </w:tr>
      <w:tr w:rsidR="5EECCAC3" w:rsidRPr="008167CD" w14:paraId="7DB34FD7" w14:textId="77777777" w:rsidTr="5EECCAC3">
        <w:trPr>
          <w:trHeight w:val="300"/>
        </w:trPr>
        <w:tc>
          <w:tcPr>
            <w:tcW w:w="2254" w:type="dxa"/>
          </w:tcPr>
          <w:p w14:paraId="74289B6E" w14:textId="5EB46122" w:rsidR="1A6F4AD8" w:rsidRPr="008167CD" w:rsidRDefault="1A6F4AD8" w:rsidP="5EECCAC3">
            <w:pPr>
              <w:rPr>
                <w:rFonts w:ascii="Times New Roman" w:hAnsi="Times New Roman" w:cs="Times New Roman"/>
              </w:rPr>
            </w:pPr>
            <w:r w:rsidRPr="008167CD">
              <w:rPr>
                <w:rFonts w:ascii="Times New Roman" w:hAnsi="Times New Roman" w:cs="Times New Roman"/>
              </w:rPr>
              <w:t>CM.TO</w:t>
            </w:r>
          </w:p>
        </w:tc>
        <w:tc>
          <w:tcPr>
            <w:tcW w:w="2254" w:type="dxa"/>
          </w:tcPr>
          <w:p w14:paraId="4FA50403" w14:textId="3384481A" w:rsidR="1A6F4AD8" w:rsidRPr="008167CD" w:rsidRDefault="1A6F4AD8" w:rsidP="5EECCAC3">
            <w:pPr>
              <w:rPr>
                <w:rFonts w:ascii="Times New Roman" w:hAnsi="Times New Roman" w:cs="Times New Roman"/>
              </w:rPr>
            </w:pPr>
            <w:r w:rsidRPr="008167CD">
              <w:rPr>
                <w:rFonts w:ascii="Times New Roman" w:hAnsi="Times New Roman" w:cs="Times New Roman"/>
              </w:rPr>
              <w:t>CANADIAN IMPERIAL BANK OF COMME</w:t>
            </w:r>
          </w:p>
        </w:tc>
        <w:tc>
          <w:tcPr>
            <w:tcW w:w="2254" w:type="dxa"/>
          </w:tcPr>
          <w:p w14:paraId="2C96F22E" w14:textId="2E1C3AB7" w:rsidR="1A6F4AD8" w:rsidRPr="008167CD" w:rsidRDefault="1A6F4AD8" w:rsidP="5EECCAC3">
            <w:pPr>
              <w:rPr>
                <w:rFonts w:ascii="Times New Roman" w:hAnsi="Times New Roman" w:cs="Times New Roman"/>
              </w:rPr>
            </w:pPr>
            <w:r w:rsidRPr="008167CD">
              <w:rPr>
                <w:rFonts w:ascii="Times New Roman" w:hAnsi="Times New Roman" w:cs="Times New Roman"/>
              </w:rPr>
              <w:t>Financial Services</w:t>
            </w:r>
          </w:p>
        </w:tc>
        <w:tc>
          <w:tcPr>
            <w:tcW w:w="2254" w:type="dxa"/>
          </w:tcPr>
          <w:p w14:paraId="6202BA02" w14:textId="3E029030" w:rsidR="1A6F4AD8" w:rsidRPr="008167CD" w:rsidRDefault="1A6F4AD8" w:rsidP="5EECCAC3">
            <w:pPr>
              <w:rPr>
                <w:rFonts w:ascii="Times New Roman" w:hAnsi="Times New Roman" w:cs="Times New Roman"/>
              </w:rPr>
            </w:pPr>
            <w:r w:rsidRPr="008167CD">
              <w:rPr>
                <w:rFonts w:ascii="Times New Roman" w:hAnsi="Times New Roman" w:cs="Times New Roman"/>
              </w:rPr>
              <w:t>Banks - Diversified</w:t>
            </w:r>
          </w:p>
        </w:tc>
      </w:tr>
      <w:tr w:rsidR="5EECCAC3" w:rsidRPr="008167CD" w14:paraId="26F5F6CA" w14:textId="77777777" w:rsidTr="5EECCAC3">
        <w:trPr>
          <w:trHeight w:val="300"/>
        </w:trPr>
        <w:tc>
          <w:tcPr>
            <w:tcW w:w="2254" w:type="dxa"/>
          </w:tcPr>
          <w:p w14:paraId="18300AAE" w14:textId="20659705" w:rsidR="1A6F4AD8" w:rsidRPr="008167CD" w:rsidRDefault="1A6F4AD8" w:rsidP="5EECCAC3">
            <w:pPr>
              <w:rPr>
                <w:rFonts w:ascii="Times New Roman" w:hAnsi="Times New Roman" w:cs="Times New Roman"/>
              </w:rPr>
            </w:pPr>
            <w:r w:rsidRPr="008167CD">
              <w:rPr>
                <w:rFonts w:ascii="Times New Roman" w:hAnsi="Times New Roman" w:cs="Times New Roman"/>
              </w:rPr>
              <w:t>CNR.TO</w:t>
            </w:r>
          </w:p>
        </w:tc>
        <w:tc>
          <w:tcPr>
            <w:tcW w:w="2254" w:type="dxa"/>
          </w:tcPr>
          <w:p w14:paraId="3331F892" w14:textId="671B8440" w:rsidR="1A6F4AD8" w:rsidRPr="008167CD" w:rsidRDefault="1A6F4AD8" w:rsidP="5EECCAC3">
            <w:pPr>
              <w:rPr>
                <w:rFonts w:ascii="Times New Roman" w:hAnsi="Times New Roman" w:cs="Times New Roman"/>
              </w:rPr>
            </w:pPr>
            <w:r w:rsidRPr="008167CD">
              <w:rPr>
                <w:rFonts w:ascii="Times New Roman" w:hAnsi="Times New Roman" w:cs="Times New Roman"/>
              </w:rPr>
              <w:t>CANADIAN NATIONAL RAILWAY CO.</w:t>
            </w:r>
          </w:p>
        </w:tc>
        <w:tc>
          <w:tcPr>
            <w:tcW w:w="2254" w:type="dxa"/>
          </w:tcPr>
          <w:p w14:paraId="6D4F648C" w14:textId="7F7F73EA" w:rsidR="1A6F4AD8" w:rsidRPr="008167CD" w:rsidRDefault="1A6F4AD8" w:rsidP="5EECCAC3">
            <w:pPr>
              <w:rPr>
                <w:rFonts w:ascii="Times New Roman" w:hAnsi="Times New Roman" w:cs="Times New Roman"/>
              </w:rPr>
            </w:pPr>
            <w:r w:rsidRPr="008167CD">
              <w:rPr>
                <w:rFonts w:ascii="Times New Roman" w:hAnsi="Times New Roman" w:cs="Times New Roman"/>
              </w:rPr>
              <w:t>Industrials</w:t>
            </w:r>
          </w:p>
        </w:tc>
        <w:tc>
          <w:tcPr>
            <w:tcW w:w="2254" w:type="dxa"/>
          </w:tcPr>
          <w:p w14:paraId="570FE713" w14:textId="7C430C35" w:rsidR="1A6F4AD8" w:rsidRPr="008167CD" w:rsidRDefault="1A6F4AD8" w:rsidP="5EECCAC3">
            <w:pPr>
              <w:rPr>
                <w:rFonts w:ascii="Times New Roman" w:hAnsi="Times New Roman" w:cs="Times New Roman"/>
              </w:rPr>
            </w:pPr>
            <w:r w:rsidRPr="008167CD">
              <w:rPr>
                <w:rFonts w:ascii="Times New Roman" w:hAnsi="Times New Roman" w:cs="Times New Roman"/>
              </w:rPr>
              <w:t>Railroads</w:t>
            </w:r>
          </w:p>
        </w:tc>
      </w:tr>
      <w:tr w:rsidR="5EECCAC3" w:rsidRPr="008167CD" w14:paraId="144AB19E" w14:textId="77777777" w:rsidTr="5EECCAC3">
        <w:trPr>
          <w:trHeight w:val="300"/>
        </w:trPr>
        <w:tc>
          <w:tcPr>
            <w:tcW w:w="2254" w:type="dxa"/>
          </w:tcPr>
          <w:p w14:paraId="6B38BFA3" w14:textId="4A1B843A" w:rsidR="1A6F4AD8" w:rsidRPr="008167CD" w:rsidRDefault="1A6F4AD8" w:rsidP="5EECCAC3">
            <w:pPr>
              <w:rPr>
                <w:rFonts w:ascii="Times New Roman" w:hAnsi="Times New Roman" w:cs="Times New Roman"/>
              </w:rPr>
            </w:pPr>
            <w:r w:rsidRPr="008167CD">
              <w:rPr>
                <w:rFonts w:ascii="Times New Roman" w:hAnsi="Times New Roman" w:cs="Times New Roman"/>
              </w:rPr>
              <w:t>ABX.TO</w:t>
            </w:r>
          </w:p>
        </w:tc>
        <w:tc>
          <w:tcPr>
            <w:tcW w:w="2254" w:type="dxa"/>
          </w:tcPr>
          <w:p w14:paraId="21EC083C" w14:textId="4185D1B7" w:rsidR="1A6F4AD8" w:rsidRPr="008167CD" w:rsidRDefault="1A6F4AD8" w:rsidP="5EECCAC3">
            <w:pPr>
              <w:rPr>
                <w:rFonts w:ascii="Times New Roman" w:hAnsi="Times New Roman" w:cs="Times New Roman"/>
              </w:rPr>
            </w:pPr>
            <w:r w:rsidRPr="008167CD">
              <w:rPr>
                <w:rFonts w:ascii="Times New Roman" w:hAnsi="Times New Roman" w:cs="Times New Roman"/>
              </w:rPr>
              <w:t>BARRICK GOLD CORPORATION</w:t>
            </w:r>
          </w:p>
        </w:tc>
        <w:tc>
          <w:tcPr>
            <w:tcW w:w="2254" w:type="dxa"/>
          </w:tcPr>
          <w:p w14:paraId="1BA482A3" w14:textId="48BF52EE" w:rsidR="1A6F4AD8" w:rsidRPr="008167CD" w:rsidRDefault="1A6F4AD8" w:rsidP="5EECCAC3">
            <w:pPr>
              <w:rPr>
                <w:rFonts w:ascii="Times New Roman" w:hAnsi="Times New Roman" w:cs="Times New Roman"/>
              </w:rPr>
            </w:pPr>
            <w:r w:rsidRPr="008167CD">
              <w:rPr>
                <w:rFonts w:ascii="Times New Roman" w:hAnsi="Times New Roman" w:cs="Times New Roman"/>
              </w:rPr>
              <w:t>Basic Materials</w:t>
            </w:r>
          </w:p>
        </w:tc>
        <w:tc>
          <w:tcPr>
            <w:tcW w:w="2254" w:type="dxa"/>
          </w:tcPr>
          <w:p w14:paraId="5ABA77C2" w14:textId="4CC0F9FA" w:rsidR="1A6F4AD8" w:rsidRPr="008167CD" w:rsidRDefault="1A6F4AD8" w:rsidP="5EECCAC3">
            <w:pPr>
              <w:rPr>
                <w:rFonts w:ascii="Times New Roman" w:hAnsi="Times New Roman" w:cs="Times New Roman"/>
              </w:rPr>
            </w:pPr>
            <w:r w:rsidRPr="008167CD">
              <w:rPr>
                <w:rFonts w:ascii="Times New Roman" w:hAnsi="Times New Roman" w:cs="Times New Roman"/>
              </w:rPr>
              <w:t xml:space="preserve">Gold  </w:t>
            </w:r>
          </w:p>
        </w:tc>
      </w:tr>
      <w:tr w:rsidR="5EECCAC3" w:rsidRPr="008167CD" w14:paraId="3FA8A54D" w14:textId="77777777" w:rsidTr="5EECCAC3">
        <w:trPr>
          <w:trHeight w:val="300"/>
        </w:trPr>
        <w:tc>
          <w:tcPr>
            <w:tcW w:w="2254" w:type="dxa"/>
          </w:tcPr>
          <w:p w14:paraId="2C52BCF9" w14:textId="6539EDE9" w:rsidR="1A6F4AD8" w:rsidRPr="008167CD" w:rsidRDefault="1A6F4AD8" w:rsidP="5EECCAC3">
            <w:pPr>
              <w:rPr>
                <w:rFonts w:ascii="Times New Roman" w:hAnsi="Times New Roman" w:cs="Times New Roman"/>
              </w:rPr>
            </w:pPr>
            <w:r w:rsidRPr="008167CD">
              <w:rPr>
                <w:rFonts w:ascii="Times New Roman" w:hAnsi="Times New Roman" w:cs="Times New Roman"/>
              </w:rPr>
              <w:t xml:space="preserve">BNS.TO  </w:t>
            </w:r>
          </w:p>
        </w:tc>
        <w:tc>
          <w:tcPr>
            <w:tcW w:w="2254" w:type="dxa"/>
          </w:tcPr>
          <w:p w14:paraId="418F20FF" w14:textId="63DA5564" w:rsidR="6DC2AC4B" w:rsidRPr="008167CD" w:rsidRDefault="6DC2AC4B" w:rsidP="5EECCAC3">
            <w:pPr>
              <w:rPr>
                <w:rFonts w:ascii="Times New Roman" w:hAnsi="Times New Roman" w:cs="Times New Roman"/>
              </w:rPr>
            </w:pPr>
            <w:r w:rsidRPr="008167CD">
              <w:rPr>
                <w:rFonts w:ascii="Times New Roman" w:hAnsi="Times New Roman" w:cs="Times New Roman"/>
              </w:rPr>
              <w:t>BANK OF NOVA SCOTIA</w:t>
            </w:r>
          </w:p>
        </w:tc>
        <w:tc>
          <w:tcPr>
            <w:tcW w:w="2254" w:type="dxa"/>
          </w:tcPr>
          <w:p w14:paraId="0D16911B" w14:textId="27D48E49" w:rsidR="1A6F4AD8" w:rsidRPr="008167CD" w:rsidRDefault="1A6F4AD8" w:rsidP="5EECCAC3">
            <w:pPr>
              <w:rPr>
                <w:rFonts w:ascii="Times New Roman" w:hAnsi="Times New Roman" w:cs="Times New Roman"/>
              </w:rPr>
            </w:pPr>
            <w:r w:rsidRPr="008167CD">
              <w:rPr>
                <w:rFonts w:ascii="Times New Roman" w:hAnsi="Times New Roman" w:cs="Times New Roman"/>
              </w:rPr>
              <w:t>Financial Services</w:t>
            </w:r>
          </w:p>
        </w:tc>
        <w:tc>
          <w:tcPr>
            <w:tcW w:w="2254" w:type="dxa"/>
          </w:tcPr>
          <w:p w14:paraId="4BC18556" w14:textId="77174F9C" w:rsidR="1A6F4AD8" w:rsidRPr="008167CD" w:rsidRDefault="1A6F4AD8" w:rsidP="5EECCAC3">
            <w:pPr>
              <w:rPr>
                <w:rFonts w:ascii="Times New Roman" w:hAnsi="Times New Roman" w:cs="Times New Roman"/>
              </w:rPr>
            </w:pPr>
            <w:r w:rsidRPr="008167CD">
              <w:rPr>
                <w:rFonts w:ascii="Times New Roman" w:hAnsi="Times New Roman" w:cs="Times New Roman"/>
              </w:rPr>
              <w:t>Banks - Diversified</w:t>
            </w:r>
          </w:p>
        </w:tc>
      </w:tr>
    </w:tbl>
    <w:p w14:paraId="55B79A64" w14:textId="2A70482D" w:rsidR="00AC3A21" w:rsidRPr="008167CD" w:rsidRDefault="54C3E1E2">
      <w:pPr>
        <w:rPr>
          <w:rFonts w:ascii="Times New Roman" w:hAnsi="Times New Roman" w:cs="Times New Roman"/>
        </w:rPr>
      </w:pPr>
      <w:r w:rsidRPr="008167CD">
        <w:rPr>
          <w:rFonts w:ascii="Times New Roman" w:hAnsi="Times New Roman" w:cs="Times New Roman"/>
        </w:rPr>
        <w:t xml:space="preserve"> </w:t>
      </w:r>
      <w:r w:rsidR="00092E12" w:rsidRPr="008167CD">
        <w:rPr>
          <w:rFonts w:ascii="Times New Roman" w:hAnsi="Times New Roman" w:cs="Times New Roman"/>
          <w:noProof/>
        </w:rPr>
        <w:drawing>
          <wp:inline distT="0" distB="0" distL="0" distR="0" wp14:anchorId="308DBA58" wp14:editId="2E6F40E3">
            <wp:extent cx="5731510" cy="3817620"/>
            <wp:effectExtent l="0" t="0" r="2540" b="0"/>
            <wp:docPr id="144340656" name="Picture 1" descr="A graph of different colo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40656" name="Picture 1" descr="A graph of different colored lines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67CD">
        <w:rPr>
          <w:rFonts w:ascii="Times New Roman" w:hAnsi="Times New Roman" w:cs="Times New Roman"/>
        </w:rPr>
        <w:br/>
      </w:r>
      <w:r w:rsidR="6E5533BC" w:rsidRPr="008167CD">
        <w:rPr>
          <w:rFonts w:ascii="Times New Roman" w:hAnsi="Times New Roman" w:cs="Times New Roman"/>
        </w:rPr>
        <w:t>Observation</w:t>
      </w:r>
      <w:r w:rsidR="21A49710" w:rsidRPr="008167CD">
        <w:rPr>
          <w:rFonts w:ascii="Times New Roman" w:hAnsi="Times New Roman" w:cs="Times New Roman"/>
        </w:rPr>
        <w:t xml:space="preserve"> from analysis:</w:t>
      </w:r>
    </w:p>
    <w:p w14:paraId="0E4A65DE" w14:textId="6D0BB75D" w:rsidR="00AC3A21" w:rsidRPr="008167CD" w:rsidRDefault="21A49710" w:rsidP="5EECCAC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8167CD">
        <w:rPr>
          <w:rFonts w:ascii="Times New Roman" w:hAnsi="Times New Roman" w:cs="Times New Roman"/>
        </w:rPr>
        <w:t xml:space="preserve">Sector which is highly valued are </w:t>
      </w:r>
      <w:r w:rsidR="4E003046" w:rsidRPr="008167CD">
        <w:rPr>
          <w:rFonts w:ascii="Times New Roman" w:hAnsi="Times New Roman" w:cs="Times New Roman"/>
        </w:rPr>
        <w:t>Oil &amp; Gas E&amp;P, Banks, Railway and Gold.</w:t>
      </w:r>
    </w:p>
    <w:p w14:paraId="4D550511" w14:textId="4CC7B51E" w:rsidR="00AC3A21" w:rsidRPr="008167CD" w:rsidRDefault="352BF591" w:rsidP="5EECCAC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8167CD">
        <w:rPr>
          <w:rFonts w:ascii="Times New Roman" w:hAnsi="Times New Roman" w:cs="Times New Roman"/>
          <w:b/>
          <w:bCs/>
        </w:rPr>
        <w:t>Stock Growth Trends</w:t>
      </w:r>
      <w:r w:rsidRPr="008167CD">
        <w:rPr>
          <w:rFonts w:ascii="Times New Roman" w:hAnsi="Times New Roman" w:cs="Times New Roman"/>
        </w:rPr>
        <w:t>:</w:t>
      </w:r>
    </w:p>
    <w:p w14:paraId="26471DDC" w14:textId="5FAE7497" w:rsidR="00AC3A21" w:rsidRPr="008167CD" w:rsidRDefault="352BF591" w:rsidP="5EECCAC3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8167CD">
        <w:rPr>
          <w:rFonts w:ascii="Times New Roman" w:hAnsi="Times New Roman" w:cs="Times New Roman"/>
        </w:rPr>
        <w:lastRenderedPageBreak/>
        <w:t>The chart shows price differences from a base date (2004-12-01).</w:t>
      </w:r>
    </w:p>
    <w:p w14:paraId="79CFE349" w14:textId="0EBA54FE" w:rsidR="00AC3A21" w:rsidRPr="008167CD" w:rsidRDefault="352BF591" w:rsidP="5EECCAC3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8167CD">
        <w:rPr>
          <w:rFonts w:ascii="Times New Roman" w:hAnsi="Times New Roman" w:cs="Times New Roman"/>
        </w:rPr>
        <w:t xml:space="preserve">Some stocks (like </w:t>
      </w:r>
      <w:r w:rsidRPr="008167CD">
        <w:rPr>
          <w:rFonts w:ascii="Times New Roman" w:hAnsi="Times New Roman" w:cs="Times New Roman"/>
          <w:b/>
          <w:bCs/>
        </w:rPr>
        <w:t>CNR.TO</w:t>
      </w:r>
      <w:r w:rsidRPr="008167CD">
        <w:rPr>
          <w:rFonts w:ascii="Times New Roman" w:hAnsi="Times New Roman" w:cs="Times New Roman"/>
        </w:rPr>
        <w:t xml:space="preserve"> and </w:t>
      </w:r>
      <w:r w:rsidRPr="008167CD">
        <w:rPr>
          <w:rFonts w:ascii="Times New Roman" w:hAnsi="Times New Roman" w:cs="Times New Roman"/>
          <w:b/>
          <w:bCs/>
        </w:rPr>
        <w:t>BMO.TO</w:t>
      </w:r>
      <w:r w:rsidRPr="008167CD">
        <w:rPr>
          <w:rFonts w:ascii="Times New Roman" w:hAnsi="Times New Roman" w:cs="Times New Roman"/>
        </w:rPr>
        <w:t>) have experienced consistent long-term growth, making them strong candidates for stable investments.</w:t>
      </w:r>
    </w:p>
    <w:p w14:paraId="1A6AB18E" w14:textId="6F3E6E41" w:rsidR="00AC3A21" w:rsidRPr="008167CD" w:rsidRDefault="352BF591" w:rsidP="5EECCAC3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8167CD">
        <w:rPr>
          <w:rFonts w:ascii="Times New Roman" w:hAnsi="Times New Roman" w:cs="Times New Roman"/>
        </w:rPr>
        <w:t xml:space="preserve">Others (like </w:t>
      </w:r>
      <w:r w:rsidRPr="008167CD">
        <w:rPr>
          <w:rFonts w:ascii="Times New Roman" w:hAnsi="Times New Roman" w:cs="Times New Roman"/>
          <w:b/>
          <w:bCs/>
        </w:rPr>
        <w:t>ABX.TO</w:t>
      </w:r>
      <w:r w:rsidRPr="008167CD">
        <w:rPr>
          <w:rFonts w:ascii="Times New Roman" w:hAnsi="Times New Roman" w:cs="Times New Roman"/>
        </w:rPr>
        <w:t>) have shown fluctuations, suggesting more volatility.</w:t>
      </w:r>
    </w:p>
    <w:p w14:paraId="08084B45" w14:textId="7C19B9C6" w:rsidR="00AC3A21" w:rsidRPr="008167CD" w:rsidRDefault="21E13E53" w:rsidP="5EECCAC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8167CD">
        <w:rPr>
          <w:rFonts w:ascii="Times New Roman" w:hAnsi="Times New Roman" w:cs="Times New Roman"/>
          <w:b/>
          <w:bCs/>
        </w:rPr>
        <w:t>Volatility and Risk</w:t>
      </w:r>
      <w:r w:rsidRPr="008167CD">
        <w:rPr>
          <w:rFonts w:ascii="Times New Roman" w:hAnsi="Times New Roman" w:cs="Times New Roman"/>
        </w:rPr>
        <w:t>:</w:t>
      </w:r>
    </w:p>
    <w:p w14:paraId="377AD045" w14:textId="31F6A196" w:rsidR="00AC3A21" w:rsidRPr="008167CD" w:rsidRDefault="21E13E53" w:rsidP="5EECCAC3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8167CD">
        <w:rPr>
          <w:rFonts w:ascii="Times New Roman" w:hAnsi="Times New Roman" w:cs="Times New Roman"/>
        </w:rPr>
        <w:t xml:space="preserve">Stocks with </w:t>
      </w:r>
      <w:r w:rsidRPr="008167CD">
        <w:rPr>
          <w:rFonts w:ascii="Times New Roman" w:hAnsi="Times New Roman" w:cs="Times New Roman"/>
          <w:b/>
          <w:bCs/>
        </w:rPr>
        <w:t>higher price swings</w:t>
      </w:r>
      <w:r w:rsidRPr="008167CD">
        <w:rPr>
          <w:rFonts w:ascii="Times New Roman" w:hAnsi="Times New Roman" w:cs="Times New Roman"/>
        </w:rPr>
        <w:t xml:space="preserve"> (e.g., ABX.TO) may be riskier but offer short-term trading opportunities.</w:t>
      </w:r>
    </w:p>
    <w:p w14:paraId="62B08F19" w14:textId="3F150A36" w:rsidR="00AC3A21" w:rsidRPr="008167CD" w:rsidRDefault="21E13E53" w:rsidP="5EECCAC3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8167CD">
        <w:rPr>
          <w:rFonts w:ascii="Times New Roman" w:hAnsi="Times New Roman" w:cs="Times New Roman"/>
        </w:rPr>
        <w:t>Stable stocks (e.g., CNR.TO) are more suited for long-term, low-risk investors.</w:t>
      </w:r>
    </w:p>
    <w:p w14:paraId="5C87C4C7" w14:textId="152D7B92" w:rsidR="00AC3A21" w:rsidRPr="008167CD" w:rsidRDefault="21E13E53" w:rsidP="5EECCAC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8167CD">
        <w:rPr>
          <w:rFonts w:ascii="Times New Roman" w:hAnsi="Times New Roman" w:cs="Times New Roman"/>
          <w:b/>
          <w:bCs/>
        </w:rPr>
        <w:t>Investment Timing Matters</w:t>
      </w:r>
      <w:r w:rsidRPr="008167CD">
        <w:rPr>
          <w:rFonts w:ascii="Times New Roman" w:hAnsi="Times New Roman" w:cs="Times New Roman"/>
        </w:rPr>
        <w:t>:</w:t>
      </w:r>
    </w:p>
    <w:p w14:paraId="4BF08024" w14:textId="27717DA6" w:rsidR="00AC3A21" w:rsidRPr="008167CD" w:rsidRDefault="21E13E53" w:rsidP="5EECCAC3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8167CD">
        <w:rPr>
          <w:rFonts w:ascii="Times New Roman" w:hAnsi="Times New Roman" w:cs="Times New Roman"/>
        </w:rPr>
        <w:t>The 2008 and 2020 financial crises are visible as dips in stock prices.</w:t>
      </w:r>
    </w:p>
    <w:p w14:paraId="396FD235" w14:textId="73295541" w:rsidR="00AC3A21" w:rsidRPr="008167CD" w:rsidRDefault="21E13E53" w:rsidP="5EECCAC3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8167CD">
        <w:rPr>
          <w:rFonts w:ascii="Times New Roman" w:hAnsi="Times New Roman" w:cs="Times New Roman"/>
        </w:rPr>
        <w:t xml:space="preserve">Investors who bought during these dips benefited from </w:t>
      </w:r>
      <w:r w:rsidRPr="008167CD">
        <w:rPr>
          <w:rFonts w:ascii="Times New Roman" w:hAnsi="Times New Roman" w:cs="Times New Roman"/>
          <w:b/>
          <w:bCs/>
        </w:rPr>
        <w:t>significant gains</w:t>
      </w:r>
      <w:r w:rsidRPr="008167CD">
        <w:rPr>
          <w:rFonts w:ascii="Times New Roman" w:hAnsi="Times New Roman" w:cs="Times New Roman"/>
        </w:rPr>
        <w:t xml:space="preserve"> in the following years.</w:t>
      </w:r>
    </w:p>
    <w:p w14:paraId="44282929" w14:textId="5EFA5372" w:rsidR="00AC3A21" w:rsidRPr="008167CD" w:rsidRDefault="21E13E53" w:rsidP="5EECCAC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8167CD">
        <w:rPr>
          <w:rFonts w:ascii="Times New Roman" w:hAnsi="Times New Roman" w:cs="Times New Roman"/>
          <w:b/>
          <w:bCs/>
        </w:rPr>
        <w:t>Sector-Based Performance</w:t>
      </w:r>
      <w:r w:rsidRPr="008167CD">
        <w:rPr>
          <w:rFonts w:ascii="Times New Roman" w:hAnsi="Times New Roman" w:cs="Times New Roman"/>
        </w:rPr>
        <w:t>:</w:t>
      </w:r>
    </w:p>
    <w:p w14:paraId="688EB475" w14:textId="7D5DEFA1" w:rsidR="00AC3A21" w:rsidRPr="008167CD" w:rsidRDefault="21E13E53" w:rsidP="5EECCAC3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8167CD">
        <w:rPr>
          <w:rFonts w:ascii="Times New Roman" w:hAnsi="Times New Roman" w:cs="Times New Roman"/>
        </w:rPr>
        <w:t>Different stocks belong to different sectors.</w:t>
      </w:r>
    </w:p>
    <w:p w14:paraId="59329AB1" w14:textId="71070483" w:rsidR="00AC3A21" w:rsidRPr="008167CD" w:rsidRDefault="21E13E53" w:rsidP="5EECCAC3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8167CD">
        <w:rPr>
          <w:rFonts w:ascii="Times New Roman" w:hAnsi="Times New Roman" w:cs="Times New Roman"/>
        </w:rPr>
        <w:t xml:space="preserve">If a customer prefers </w:t>
      </w:r>
      <w:r w:rsidRPr="008167CD">
        <w:rPr>
          <w:rFonts w:ascii="Times New Roman" w:hAnsi="Times New Roman" w:cs="Times New Roman"/>
          <w:b/>
          <w:bCs/>
        </w:rPr>
        <w:t>low-risk investments</w:t>
      </w:r>
      <w:r w:rsidRPr="008167CD">
        <w:rPr>
          <w:rFonts w:ascii="Times New Roman" w:hAnsi="Times New Roman" w:cs="Times New Roman"/>
        </w:rPr>
        <w:t>, they should target sectors with steady upward trends.</w:t>
      </w:r>
    </w:p>
    <w:p w14:paraId="500D89F3" w14:textId="585A9A8D" w:rsidR="00AC3A21" w:rsidRPr="008167CD" w:rsidRDefault="3F1D7A70" w:rsidP="5EECCAC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8167CD">
        <w:rPr>
          <w:rFonts w:ascii="Times New Roman" w:hAnsi="Times New Roman" w:cs="Times New Roman"/>
          <w:b/>
          <w:bCs/>
        </w:rPr>
        <w:t>Profit/Loss Boundary (Dotted Line)</w:t>
      </w:r>
      <w:r w:rsidRPr="008167CD">
        <w:rPr>
          <w:rFonts w:ascii="Times New Roman" w:hAnsi="Times New Roman" w:cs="Times New Roman"/>
        </w:rPr>
        <w:t>:</w:t>
      </w:r>
    </w:p>
    <w:p w14:paraId="0D1C813A" w14:textId="4D91099A" w:rsidR="00AC3A21" w:rsidRPr="008167CD" w:rsidRDefault="3F1D7A70" w:rsidP="5EECCAC3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8167CD">
        <w:rPr>
          <w:rFonts w:ascii="Times New Roman" w:hAnsi="Times New Roman" w:cs="Times New Roman"/>
        </w:rPr>
        <w:t>It represents whether a stock is above or below its starting price.</w:t>
      </w:r>
    </w:p>
    <w:p w14:paraId="365ECCF2" w14:textId="5B7755B1" w:rsidR="00AC3A21" w:rsidRPr="008167CD" w:rsidRDefault="3F1D7A70" w:rsidP="5EECCAC3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8167CD">
        <w:rPr>
          <w:rFonts w:ascii="Times New Roman" w:hAnsi="Times New Roman" w:cs="Times New Roman"/>
        </w:rPr>
        <w:t xml:space="preserve">If a stock stays </w:t>
      </w:r>
      <w:r w:rsidRPr="008167CD">
        <w:rPr>
          <w:rFonts w:ascii="Times New Roman" w:hAnsi="Times New Roman" w:cs="Times New Roman"/>
          <w:b/>
          <w:bCs/>
        </w:rPr>
        <w:t>above the boundary for long periods</w:t>
      </w:r>
      <w:r w:rsidRPr="008167CD">
        <w:rPr>
          <w:rFonts w:ascii="Times New Roman" w:hAnsi="Times New Roman" w:cs="Times New Roman"/>
        </w:rPr>
        <w:t>, it indicates strong long-term performance.</w:t>
      </w:r>
    </w:p>
    <w:p w14:paraId="6799F8FC" w14:textId="1E62CA20" w:rsidR="00AC3A21" w:rsidRPr="008167CD" w:rsidRDefault="00AC3A21" w:rsidP="5EECCAC3">
      <w:pPr>
        <w:pStyle w:val="ListParagraph"/>
        <w:spacing w:after="0"/>
        <w:ind w:left="1080"/>
        <w:rPr>
          <w:rFonts w:ascii="Times New Roman" w:hAnsi="Times New Roman" w:cs="Times New Roman"/>
        </w:rPr>
      </w:pPr>
    </w:p>
    <w:p w14:paraId="005F341C" w14:textId="77777777" w:rsidR="007827A8" w:rsidRPr="008167CD" w:rsidRDefault="007827A8" w:rsidP="008167CD">
      <w:pPr>
        <w:spacing w:after="0"/>
        <w:rPr>
          <w:rFonts w:ascii="Times New Roman" w:hAnsi="Times New Roman" w:cs="Times New Roman"/>
        </w:rPr>
      </w:pPr>
    </w:p>
    <w:p w14:paraId="172E68B4" w14:textId="64C29DA3" w:rsidR="00AC3A21" w:rsidRPr="008167CD" w:rsidRDefault="3F1D7A70" w:rsidP="5EECCAC3">
      <w:pPr>
        <w:rPr>
          <w:rFonts w:ascii="Times New Roman" w:hAnsi="Times New Roman" w:cs="Times New Roman"/>
          <w:b/>
          <w:bCs/>
        </w:rPr>
      </w:pPr>
      <w:r w:rsidRPr="008167CD">
        <w:rPr>
          <w:rFonts w:ascii="Times New Roman" w:eastAsia="Aptos" w:hAnsi="Times New Roman" w:cs="Times New Roman"/>
          <w:b/>
          <w:bCs/>
        </w:rPr>
        <w:t>How This Helps Beginner Investors:</w:t>
      </w:r>
    </w:p>
    <w:p w14:paraId="0729F9FA" w14:textId="75500A56" w:rsidR="00AC3A21" w:rsidRPr="008167CD" w:rsidRDefault="7EA5C4BD" w:rsidP="5EECCAC3">
      <w:pPr>
        <w:rPr>
          <w:rFonts w:ascii="Times New Roman" w:eastAsia="Aptos" w:hAnsi="Times New Roman" w:cs="Times New Roman"/>
        </w:rPr>
      </w:pPr>
      <w:r w:rsidRPr="008167CD">
        <w:rPr>
          <w:rFonts w:ascii="Times New Roman" w:hAnsi="Times New Roman" w:cs="Times New Roman"/>
        </w:rPr>
        <w:t>Sector-Based Diversification to Reduce Risks:</w:t>
      </w:r>
    </w:p>
    <w:p w14:paraId="579CDC76" w14:textId="5913D047" w:rsidR="00AC3A21" w:rsidRPr="008167CD" w:rsidRDefault="7EA5C4BD" w:rsidP="5EECCAC3">
      <w:pPr>
        <w:pStyle w:val="ListParagraph"/>
        <w:numPr>
          <w:ilvl w:val="0"/>
          <w:numId w:val="2"/>
        </w:numPr>
        <w:rPr>
          <w:rFonts w:ascii="Times New Roman" w:eastAsia="Aptos" w:hAnsi="Times New Roman" w:cs="Times New Roman"/>
        </w:rPr>
      </w:pPr>
      <w:r w:rsidRPr="008167CD">
        <w:rPr>
          <w:rFonts w:ascii="Times New Roman" w:eastAsia="Aptos" w:hAnsi="Times New Roman" w:cs="Times New Roman"/>
        </w:rPr>
        <w:t xml:space="preserve">It means investing in </w:t>
      </w:r>
      <w:r w:rsidRPr="008167CD">
        <w:rPr>
          <w:rFonts w:ascii="Times New Roman" w:eastAsia="Aptos" w:hAnsi="Times New Roman" w:cs="Times New Roman"/>
          <w:b/>
          <w:bCs/>
        </w:rPr>
        <w:t>different industries</w:t>
      </w:r>
      <w:r w:rsidRPr="008167CD">
        <w:rPr>
          <w:rFonts w:ascii="Times New Roman" w:eastAsia="Aptos" w:hAnsi="Times New Roman" w:cs="Times New Roman"/>
        </w:rPr>
        <w:t xml:space="preserve"> rather than putting all money into a single sector (e.g., technology, healthcare, finance).</w:t>
      </w:r>
    </w:p>
    <w:p w14:paraId="030283E9" w14:textId="0C20DCCA" w:rsidR="00AC3A21" w:rsidRPr="008167CD" w:rsidRDefault="7EA5C4BD" w:rsidP="5EECCAC3">
      <w:pPr>
        <w:pStyle w:val="ListParagraph"/>
        <w:numPr>
          <w:ilvl w:val="0"/>
          <w:numId w:val="2"/>
        </w:numPr>
        <w:spacing w:after="0"/>
        <w:rPr>
          <w:rFonts w:ascii="Times New Roman" w:eastAsia="Aptos" w:hAnsi="Times New Roman" w:cs="Times New Roman"/>
        </w:rPr>
      </w:pPr>
      <w:r w:rsidRPr="008167CD">
        <w:rPr>
          <w:rFonts w:ascii="Times New Roman" w:eastAsia="Aptos" w:hAnsi="Times New Roman" w:cs="Times New Roman"/>
        </w:rPr>
        <w:t xml:space="preserve">Different sectors react </w:t>
      </w:r>
      <w:r w:rsidRPr="008167CD">
        <w:rPr>
          <w:rFonts w:ascii="Times New Roman" w:eastAsia="Aptos" w:hAnsi="Times New Roman" w:cs="Times New Roman"/>
          <w:b/>
          <w:bCs/>
        </w:rPr>
        <w:t>differently</w:t>
      </w:r>
      <w:r w:rsidRPr="008167CD">
        <w:rPr>
          <w:rFonts w:ascii="Times New Roman" w:eastAsia="Aptos" w:hAnsi="Times New Roman" w:cs="Times New Roman"/>
        </w:rPr>
        <w:t xml:space="preserve"> to economic changes, reducing overall investment risk.</w:t>
      </w:r>
    </w:p>
    <w:p w14:paraId="7F1B88A9" w14:textId="41343293" w:rsidR="00AC3A21" w:rsidRPr="008167CD" w:rsidRDefault="4633174C" w:rsidP="5EECCAC3">
      <w:pPr>
        <w:spacing w:after="0"/>
        <w:rPr>
          <w:rFonts w:ascii="Times New Roman" w:eastAsia="Aptos" w:hAnsi="Times New Roman" w:cs="Times New Roman"/>
        </w:rPr>
      </w:pPr>
      <w:r w:rsidRPr="008167CD">
        <w:rPr>
          <w:rFonts w:ascii="Times New Roman" w:eastAsia="Aptos" w:hAnsi="Times New Roman" w:cs="Times New Roman"/>
        </w:rPr>
        <w:t>Why is it important for new investors:</w:t>
      </w:r>
    </w:p>
    <w:p w14:paraId="5B85B400" w14:textId="330B0275" w:rsidR="00AC3A21" w:rsidRPr="008167CD" w:rsidRDefault="4633174C" w:rsidP="5EECCAC3">
      <w:pPr>
        <w:pStyle w:val="ListParagraph"/>
        <w:numPr>
          <w:ilvl w:val="0"/>
          <w:numId w:val="12"/>
        </w:numPr>
        <w:spacing w:after="0"/>
        <w:rPr>
          <w:rFonts w:ascii="Times New Roman" w:eastAsia="Aptos" w:hAnsi="Times New Roman" w:cs="Times New Roman"/>
        </w:rPr>
      </w:pPr>
      <w:r w:rsidRPr="008167CD">
        <w:rPr>
          <w:rFonts w:ascii="Times New Roman" w:eastAsia="Aptos" w:hAnsi="Times New Roman" w:cs="Times New Roman"/>
        </w:rPr>
        <w:t xml:space="preserve">If an investor </w:t>
      </w:r>
      <w:r w:rsidRPr="008167CD">
        <w:rPr>
          <w:rFonts w:ascii="Times New Roman" w:eastAsia="Aptos" w:hAnsi="Times New Roman" w:cs="Times New Roman"/>
          <w:b/>
          <w:bCs/>
        </w:rPr>
        <w:t>only buys</w:t>
      </w:r>
      <w:r w:rsidRPr="008167CD">
        <w:rPr>
          <w:rFonts w:ascii="Times New Roman" w:eastAsia="Aptos" w:hAnsi="Times New Roman" w:cs="Times New Roman"/>
        </w:rPr>
        <w:t xml:space="preserve"> stocks from one sector (e.g., banking), their portfolio is at high risk if that sector crashes.</w:t>
      </w:r>
    </w:p>
    <w:p w14:paraId="2F26B8AA" w14:textId="21E5ACCC" w:rsidR="00AC3A21" w:rsidRPr="008167CD" w:rsidRDefault="4633174C" w:rsidP="5EECCAC3">
      <w:pPr>
        <w:pStyle w:val="ListParagraph"/>
        <w:numPr>
          <w:ilvl w:val="0"/>
          <w:numId w:val="12"/>
        </w:numPr>
        <w:spacing w:after="0"/>
        <w:rPr>
          <w:rFonts w:ascii="Times New Roman" w:eastAsia="Aptos" w:hAnsi="Times New Roman" w:cs="Times New Roman"/>
        </w:rPr>
      </w:pPr>
      <w:r w:rsidRPr="008167CD">
        <w:rPr>
          <w:rFonts w:ascii="Times New Roman" w:eastAsia="Aptos" w:hAnsi="Times New Roman" w:cs="Times New Roman"/>
        </w:rPr>
        <w:t xml:space="preserve">Diversifying across multiple sectors protects against </w:t>
      </w:r>
      <w:r w:rsidRPr="008167CD">
        <w:rPr>
          <w:rFonts w:ascii="Times New Roman" w:eastAsia="Aptos" w:hAnsi="Times New Roman" w:cs="Times New Roman"/>
          <w:b/>
          <w:bCs/>
        </w:rPr>
        <w:t>sector-specific downturns</w:t>
      </w:r>
      <w:r w:rsidRPr="008167CD">
        <w:rPr>
          <w:rFonts w:ascii="Times New Roman" w:eastAsia="Aptos" w:hAnsi="Times New Roman" w:cs="Times New Roman"/>
        </w:rPr>
        <w:t>.</w:t>
      </w:r>
    </w:p>
    <w:p w14:paraId="0DFDED59" w14:textId="4449DC9C" w:rsidR="00AC3A21" w:rsidRDefault="4633174C" w:rsidP="000B459C">
      <w:pPr>
        <w:pStyle w:val="ListParagraph"/>
        <w:numPr>
          <w:ilvl w:val="0"/>
          <w:numId w:val="12"/>
        </w:numPr>
        <w:spacing w:after="0"/>
        <w:rPr>
          <w:rFonts w:ascii="Times New Roman" w:eastAsia="Aptos" w:hAnsi="Times New Roman" w:cs="Times New Roman"/>
        </w:rPr>
      </w:pPr>
      <w:r w:rsidRPr="008167CD">
        <w:rPr>
          <w:rFonts w:ascii="Times New Roman" w:eastAsia="Aptos" w:hAnsi="Times New Roman" w:cs="Times New Roman"/>
        </w:rPr>
        <w:t>For example:</w:t>
      </w:r>
      <w:r w:rsidRPr="008167CD">
        <w:rPr>
          <w:rFonts w:ascii="Times New Roman" w:hAnsi="Times New Roman" w:cs="Times New Roman"/>
        </w:rPr>
        <w:br/>
      </w:r>
      <w:r w:rsidRPr="008167CD">
        <w:rPr>
          <w:rFonts w:ascii="Times New Roman" w:eastAsia="Aptos" w:hAnsi="Times New Roman" w:cs="Times New Roman"/>
        </w:rPr>
        <w:t>Financial Sector (BMO.TO, CM.TO, BNS.TO) → Affected by interest rates, economic cycles.</w:t>
      </w:r>
      <w:r w:rsidRPr="008167CD">
        <w:rPr>
          <w:rFonts w:ascii="Times New Roman" w:hAnsi="Times New Roman" w:cs="Times New Roman"/>
        </w:rPr>
        <w:br/>
      </w:r>
      <w:r w:rsidRPr="008167CD">
        <w:rPr>
          <w:rFonts w:ascii="Times New Roman" w:eastAsia="Aptos" w:hAnsi="Times New Roman" w:cs="Times New Roman"/>
        </w:rPr>
        <w:t>Energy Sector (CNQ.TO) → Influenced by oil prices, geopolitical events.</w:t>
      </w:r>
      <w:r w:rsidRPr="008167CD">
        <w:rPr>
          <w:rFonts w:ascii="Times New Roman" w:hAnsi="Times New Roman" w:cs="Times New Roman"/>
        </w:rPr>
        <w:br/>
      </w:r>
      <w:r w:rsidRPr="008167CD">
        <w:rPr>
          <w:rFonts w:ascii="Times New Roman" w:eastAsia="Aptos" w:hAnsi="Times New Roman" w:cs="Times New Roman"/>
        </w:rPr>
        <w:t>Industrial Sector (CNR.TO) → Depends on trade, infrastructure growth.</w:t>
      </w:r>
      <w:r w:rsidRPr="008167CD">
        <w:rPr>
          <w:rFonts w:ascii="Times New Roman" w:hAnsi="Times New Roman" w:cs="Times New Roman"/>
        </w:rPr>
        <w:br/>
      </w:r>
      <w:r w:rsidRPr="008167CD">
        <w:rPr>
          <w:rFonts w:ascii="Times New Roman" w:eastAsia="Aptos" w:hAnsi="Times New Roman" w:cs="Times New Roman"/>
        </w:rPr>
        <w:t>Gold &amp; Mining (ABX.TO) → Gains value in economic downturns (safe-haven investment).</w:t>
      </w:r>
    </w:p>
    <w:p w14:paraId="6C16C2AD" w14:textId="77777777" w:rsidR="008167CD" w:rsidRDefault="008167CD" w:rsidP="008167CD">
      <w:pPr>
        <w:spacing w:after="0"/>
        <w:rPr>
          <w:rFonts w:ascii="Times New Roman" w:eastAsia="Aptos" w:hAnsi="Times New Roman" w:cs="Times New Roman"/>
        </w:rPr>
      </w:pPr>
    </w:p>
    <w:p w14:paraId="34B84229" w14:textId="77777777" w:rsidR="008167CD" w:rsidRPr="008167CD" w:rsidRDefault="008167CD" w:rsidP="008167CD">
      <w:pPr>
        <w:spacing w:after="0"/>
        <w:rPr>
          <w:rFonts w:ascii="Times New Roman" w:eastAsia="Aptos" w:hAnsi="Times New Roman" w:cs="Times New Roman"/>
        </w:rPr>
      </w:pPr>
    </w:p>
    <w:p w14:paraId="1125B8A6" w14:textId="7FC5F2BF" w:rsidR="00AC3A21" w:rsidRPr="008167CD" w:rsidRDefault="2CFEDF17" w:rsidP="5EECCAC3">
      <w:pPr>
        <w:spacing w:after="0"/>
        <w:rPr>
          <w:rFonts w:ascii="Times New Roman" w:eastAsia="Aptos" w:hAnsi="Times New Roman" w:cs="Times New Roman"/>
          <w:b/>
          <w:bCs/>
        </w:rPr>
      </w:pPr>
      <w:r w:rsidRPr="008167CD">
        <w:rPr>
          <w:rFonts w:ascii="Times New Roman" w:eastAsia="Aptos" w:hAnsi="Times New Roman" w:cs="Times New Roman"/>
          <w:b/>
          <w:bCs/>
        </w:rPr>
        <w:lastRenderedPageBreak/>
        <w:t>How Can Beginners Use This?</w:t>
      </w:r>
    </w:p>
    <w:p w14:paraId="5E9135B1" w14:textId="556D8ED0" w:rsidR="00AC3A21" w:rsidRPr="008167CD" w:rsidRDefault="2CFEDF17" w:rsidP="5EECCAC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8167CD">
        <w:rPr>
          <w:rFonts w:ascii="Times New Roman" w:eastAsia="Aptos" w:hAnsi="Times New Roman" w:cs="Times New Roman"/>
        </w:rPr>
        <w:t>Scenario 1: If the economy slows down, banks (BMO.TO, CM.TO) might struggle, but gold (ABX.TO) could rise.</w:t>
      </w:r>
      <w:r w:rsidRPr="008167CD">
        <w:rPr>
          <w:rFonts w:ascii="Times New Roman" w:hAnsi="Times New Roman" w:cs="Times New Roman"/>
        </w:rPr>
        <w:br/>
      </w:r>
      <w:r w:rsidRPr="008167CD">
        <w:rPr>
          <w:rFonts w:ascii="Times New Roman" w:eastAsia="Aptos" w:hAnsi="Times New Roman" w:cs="Times New Roman"/>
        </w:rPr>
        <w:t>Scenario 2: If oil prices surge, energy stocks (CNQ.TO) will benefit, while transport (CNR.TO) may suffer due to higher costs.</w:t>
      </w:r>
    </w:p>
    <w:p w14:paraId="114ECE7E" w14:textId="45B48533" w:rsidR="00AC3A21" w:rsidRPr="004B73E4" w:rsidRDefault="2CFEDF17" w:rsidP="5EECCAC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8167CD">
        <w:rPr>
          <w:rFonts w:ascii="Times New Roman" w:eastAsia="Aptos" w:hAnsi="Times New Roman" w:cs="Times New Roman"/>
        </w:rPr>
        <w:t>By investing across multiple sectors, losses in one area are balanced by gains in another.</w:t>
      </w:r>
    </w:p>
    <w:p w14:paraId="0F262D82" w14:textId="77777777" w:rsidR="004B73E4" w:rsidRDefault="004B73E4" w:rsidP="004B73E4">
      <w:r>
        <w:t>Second Analysis performed is to identify clearly how one sector affects the other.</w:t>
      </w:r>
    </w:p>
    <w:p w14:paraId="46AC8CCC" w14:textId="77777777" w:rsidR="004B73E4" w:rsidRDefault="004B73E4" w:rsidP="004B73E4">
      <w:r>
        <w:t>For understanding the relation have taken one high valued ticker (high close*volume value) from each sector.</w:t>
      </w:r>
    </w:p>
    <w:p w14:paraId="64A24D44" w14:textId="77777777" w:rsidR="004B73E4" w:rsidRDefault="004B73E4" w:rsidP="004B73E4">
      <w:r>
        <w:t>High valued tickers from each sector are: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B73E4" w14:paraId="3101B9BE" w14:textId="77777777" w:rsidTr="007C1D87">
        <w:tc>
          <w:tcPr>
            <w:tcW w:w="4508" w:type="dxa"/>
            <w:shd w:val="clear" w:color="auto" w:fill="F6C5AC" w:themeFill="accent2" w:themeFillTint="66"/>
          </w:tcPr>
          <w:p w14:paraId="417B1DC4" w14:textId="77777777" w:rsidR="004B73E4" w:rsidRDefault="004B73E4" w:rsidP="007C1D87">
            <w:r>
              <w:t>Ticker</w:t>
            </w:r>
          </w:p>
        </w:tc>
        <w:tc>
          <w:tcPr>
            <w:tcW w:w="4508" w:type="dxa"/>
            <w:shd w:val="clear" w:color="auto" w:fill="F6C5AC" w:themeFill="accent2" w:themeFillTint="66"/>
          </w:tcPr>
          <w:p w14:paraId="2B31CFE8" w14:textId="77777777" w:rsidR="004B73E4" w:rsidRDefault="004B73E4" w:rsidP="007C1D87">
            <w:r>
              <w:t>Sector</w:t>
            </w:r>
          </w:p>
        </w:tc>
      </w:tr>
      <w:tr w:rsidR="004B73E4" w14:paraId="0221C9F2" w14:textId="77777777" w:rsidTr="007C1D87">
        <w:tc>
          <w:tcPr>
            <w:tcW w:w="4508" w:type="dxa"/>
          </w:tcPr>
          <w:p w14:paraId="2A3F8C49" w14:textId="77777777" w:rsidR="004B73E4" w:rsidRDefault="004B73E4" w:rsidP="007C1D87">
            <w:r w:rsidRPr="00D2653C">
              <w:t xml:space="preserve">ABX.TO  </w:t>
            </w:r>
          </w:p>
        </w:tc>
        <w:tc>
          <w:tcPr>
            <w:tcW w:w="4508" w:type="dxa"/>
          </w:tcPr>
          <w:p w14:paraId="62F59353" w14:textId="77777777" w:rsidR="004B73E4" w:rsidRDefault="004B73E4" w:rsidP="007C1D87">
            <w:r w:rsidRPr="00D2653C">
              <w:t>Basic Materials</w:t>
            </w:r>
          </w:p>
        </w:tc>
      </w:tr>
      <w:tr w:rsidR="004B73E4" w14:paraId="46BA8B16" w14:textId="77777777" w:rsidTr="007C1D87">
        <w:tc>
          <w:tcPr>
            <w:tcW w:w="4508" w:type="dxa"/>
          </w:tcPr>
          <w:p w14:paraId="654D06E1" w14:textId="77777777" w:rsidR="004B73E4" w:rsidRDefault="004B73E4" w:rsidP="007C1D87">
            <w:r w:rsidRPr="00D2653C">
              <w:t xml:space="preserve">BCE.TO  </w:t>
            </w:r>
          </w:p>
        </w:tc>
        <w:tc>
          <w:tcPr>
            <w:tcW w:w="4508" w:type="dxa"/>
          </w:tcPr>
          <w:p w14:paraId="570DC7E5" w14:textId="77777777" w:rsidR="004B73E4" w:rsidRDefault="004B73E4" w:rsidP="007C1D87">
            <w:r w:rsidRPr="00D2653C">
              <w:t>Communication Services</w:t>
            </w:r>
          </w:p>
        </w:tc>
      </w:tr>
      <w:tr w:rsidR="004B73E4" w14:paraId="2B63D2E3" w14:textId="77777777" w:rsidTr="007C1D87">
        <w:tc>
          <w:tcPr>
            <w:tcW w:w="4508" w:type="dxa"/>
          </w:tcPr>
          <w:p w14:paraId="7D769E3C" w14:textId="77777777" w:rsidR="004B73E4" w:rsidRDefault="004B73E4" w:rsidP="007C1D87">
            <w:r>
              <w:t>ATD</w:t>
            </w:r>
            <w:r w:rsidRPr="00D2653C">
              <w:t xml:space="preserve">.TO  </w:t>
            </w:r>
          </w:p>
        </w:tc>
        <w:tc>
          <w:tcPr>
            <w:tcW w:w="4508" w:type="dxa"/>
          </w:tcPr>
          <w:p w14:paraId="4AA15C6E" w14:textId="77777777" w:rsidR="004B73E4" w:rsidRDefault="004B73E4" w:rsidP="007C1D87">
            <w:r w:rsidRPr="00D2653C">
              <w:t>Consumer Cyclical</w:t>
            </w:r>
          </w:p>
        </w:tc>
      </w:tr>
      <w:tr w:rsidR="004B73E4" w14:paraId="66769AD5" w14:textId="77777777" w:rsidTr="007C1D87">
        <w:tc>
          <w:tcPr>
            <w:tcW w:w="4508" w:type="dxa"/>
          </w:tcPr>
          <w:p w14:paraId="2F9E09A9" w14:textId="77777777" w:rsidR="004B73E4" w:rsidRDefault="004B73E4" w:rsidP="007C1D87">
            <w:r w:rsidRPr="00D2653C">
              <w:t xml:space="preserve">DOL.TO  </w:t>
            </w:r>
          </w:p>
        </w:tc>
        <w:tc>
          <w:tcPr>
            <w:tcW w:w="4508" w:type="dxa"/>
          </w:tcPr>
          <w:p w14:paraId="5CE55EE7" w14:textId="77777777" w:rsidR="004B73E4" w:rsidRDefault="004B73E4" w:rsidP="007C1D87">
            <w:r w:rsidRPr="00D2653C">
              <w:t>Consumer Defensive</w:t>
            </w:r>
          </w:p>
        </w:tc>
      </w:tr>
      <w:tr w:rsidR="004B73E4" w14:paraId="2003A8A2" w14:textId="77777777" w:rsidTr="007C1D87">
        <w:tc>
          <w:tcPr>
            <w:tcW w:w="4508" w:type="dxa"/>
          </w:tcPr>
          <w:p w14:paraId="6F1ED231" w14:textId="77777777" w:rsidR="004B73E4" w:rsidRDefault="004B73E4" w:rsidP="007C1D87">
            <w:r w:rsidRPr="00D2653C">
              <w:t xml:space="preserve">CNQ.TO  </w:t>
            </w:r>
          </w:p>
        </w:tc>
        <w:tc>
          <w:tcPr>
            <w:tcW w:w="4508" w:type="dxa"/>
          </w:tcPr>
          <w:p w14:paraId="0C728276" w14:textId="77777777" w:rsidR="004B73E4" w:rsidRDefault="004B73E4" w:rsidP="007C1D87">
            <w:r w:rsidRPr="00D2653C">
              <w:t>Energy</w:t>
            </w:r>
          </w:p>
        </w:tc>
      </w:tr>
      <w:tr w:rsidR="004B73E4" w14:paraId="61CF6A92" w14:textId="77777777" w:rsidTr="007C1D87">
        <w:tc>
          <w:tcPr>
            <w:tcW w:w="4508" w:type="dxa"/>
          </w:tcPr>
          <w:p w14:paraId="4769186E" w14:textId="77777777" w:rsidR="004B73E4" w:rsidRPr="00D2653C" w:rsidRDefault="004B73E4" w:rsidP="007C1D87">
            <w:r w:rsidRPr="00D2653C">
              <w:t xml:space="preserve">BMO.TO  </w:t>
            </w:r>
          </w:p>
        </w:tc>
        <w:tc>
          <w:tcPr>
            <w:tcW w:w="4508" w:type="dxa"/>
          </w:tcPr>
          <w:p w14:paraId="25DB1C0A" w14:textId="77777777" w:rsidR="004B73E4" w:rsidRDefault="004B73E4" w:rsidP="007C1D87">
            <w:r w:rsidRPr="00D2653C">
              <w:t>Financial Services</w:t>
            </w:r>
          </w:p>
        </w:tc>
      </w:tr>
      <w:tr w:rsidR="004B73E4" w14:paraId="6E37E651" w14:textId="77777777" w:rsidTr="007C1D87">
        <w:tc>
          <w:tcPr>
            <w:tcW w:w="4508" w:type="dxa"/>
          </w:tcPr>
          <w:p w14:paraId="6D38530E" w14:textId="77777777" w:rsidR="004B73E4" w:rsidRPr="00D2653C" w:rsidRDefault="004B73E4" w:rsidP="007C1D87">
            <w:r w:rsidRPr="00D2653C">
              <w:t xml:space="preserve">BHC.TO  </w:t>
            </w:r>
          </w:p>
        </w:tc>
        <w:tc>
          <w:tcPr>
            <w:tcW w:w="4508" w:type="dxa"/>
          </w:tcPr>
          <w:p w14:paraId="24D72F22" w14:textId="77777777" w:rsidR="004B73E4" w:rsidRDefault="004B73E4" w:rsidP="007C1D87">
            <w:r w:rsidRPr="00D2653C">
              <w:t>Healthcare</w:t>
            </w:r>
          </w:p>
        </w:tc>
      </w:tr>
      <w:tr w:rsidR="004B73E4" w14:paraId="05EB49D6" w14:textId="77777777" w:rsidTr="007C1D87">
        <w:tc>
          <w:tcPr>
            <w:tcW w:w="4508" w:type="dxa"/>
          </w:tcPr>
          <w:p w14:paraId="718BAFC1" w14:textId="77777777" w:rsidR="004B73E4" w:rsidRPr="00D2653C" w:rsidRDefault="004B73E4" w:rsidP="007C1D87">
            <w:r w:rsidRPr="00D2653C">
              <w:t xml:space="preserve">CNR.TO  </w:t>
            </w:r>
          </w:p>
        </w:tc>
        <w:tc>
          <w:tcPr>
            <w:tcW w:w="4508" w:type="dxa"/>
          </w:tcPr>
          <w:p w14:paraId="16E2628C" w14:textId="77777777" w:rsidR="004B73E4" w:rsidRDefault="004B73E4" w:rsidP="007C1D87">
            <w:r w:rsidRPr="00D2653C">
              <w:t>Industrials</w:t>
            </w:r>
          </w:p>
        </w:tc>
      </w:tr>
      <w:tr w:rsidR="004B73E4" w14:paraId="2D211956" w14:textId="77777777" w:rsidTr="007C1D87">
        <w:tc>
          <w:tcPr>
            <w:tcW w:w="4508" w:type="dxa"/>
          </w:tcPr>
          <w:p w14:paraId="2E7C5A54" w14:textId="77777777" w:rsidR="004B73E4" w:rsidRPr="00D2653C" w:rsidRDefault="004B73E4" w:rsidP="007C1D87">
            <w:r w:rsidRPr="00D2653C">
              <w:t xml:space="preserve">CIGI.TO  </w:t>
            </w:r>
          </w:p>
        </w:tc>
        <w:tc>
          <w:tcPr>
            <w:tcW w:w="4508" w:type="dxa"/>
          </w:tcPr>
          <w:p w14:paraId="73A21C35" w14:textId="77777777" w:rsidR="004B73E4" w:rsidRDefault="004B73E4" w:rsidP="007C1D87">
            <w:r w:rsidRPr="00D2653C">
              <w:t>Real Estate</w:t>
            </w:r>
          </w:p>
        </w:tc>
      </w:tr>
      <w:tr w:rsidR="004B73E4" w14:paraId="24DFFBBC" w14:textId="77777777" w:rsidTr="007C1D87">
        <w:tc>
          <w:tcPr>
            <w:tcW w:w="4508" w:type="dxa"/>
          </w:tcPr>
          <w:p w14:paraId="69D5CA49" w14:textId="77777777" w:rsidR="004B73E4" w:rsidRPr="00D2653C" w:rsidRDefault="004B73E4" w:rsidP="007C1D87">
            <w:r w:rsidRPr="00D2653C">
              <w:t xml:space="preserve">BB.TO  </w:t>
            </w:r>
          </w:p>
        </w:tc>
        <w:tc>
          <w:tcPr>
            <w:tcW w:w="4508" w:type="dxa"/>
          </w:tcPr>
          <w:p w14:paraId="49BE4EC0" w14:textId="77777777" w:rsidR="004B73E4" w:rsidRDefault="004B73E4" w:rsidP="007C1D87">
            <w:r w:rsidRPr="00D2653C">
              <w:t>Technology</w:t>
            </w:r>
          </w:p>
        </w:tc>
      </w:tr>
      <w:tr w:rsidR="004B73E4" w14:paraId="1451B02E" w14:textId="77777777" w:rsidTr="007C1D87">
        <w:tc>
          <w:tcPr>
            <w:tcW w:w="4508" w:type="dxa"/>
          </w:tcPr>
          <w:p w14:paraId="3FC928EC" w14:textId="77777777" w:rsidR="004B73E4" w:rsidRPr="00D2653C" w:rsidRDefault="004B73E4" w:rsidP="007C1D87">
            <w:r w:rsidRPr="00D2653C">
              <w:t xml:space="preserve">AQN.TO  </w:t>
            </w:r>
          </w:p>
        </w:tc>
        <w:tc>
          <w:tcPr>
            <w:tcW w:w="4508" w:type="dxa"/>
          </w:tcPr>
          <w:p w14:paraId="2333C678" w14:textId="77777777" w:rsidR="004B73E4" w:rsidRDefault="004B73E4" w:rsidP="007C1D87">
            <w:r w:rsidRPr="00D2653C">
              <w:t>Utilities</w:t>
            </w:r>
          </w:p>
        </w:tc>
      </w:tr>
    </w:tbl>
    <w:p w14:paraId="1CE08C3C" w14:textId="77777777" w:rsidR="004B73E4" w:rsidRDefault="004B73E4" w:rsidP="004B73E4"/>
    <w:p w14:paraId="6D70A420" w14:textId="77777777" w:rsidR="004B73E4" w:rsidRDefault="004B73E4" w:rsidP="004B73E4">
      <w:r>
        <w:lastRenderedPageBreak/>
        <w:t>Graph</w:t>
      </w:r>
      <w:r>
        <w:br/>
      </w:r>
      <w:r>
        <w:rPr>
          <w:noProof/>
        </w:rPr>
        <w:drawing>
          <wp:inline distT="0" distB="0" distL="0" distR="0" wp14:anchorId="0FF88F70" wp14:editId="5E54DBD6">
            <wp:extent cx="5724524" cy="3810000"/>
            <wp:effectExtent l="0" t="0" r="0" b="0"/>
            <wp:docPr id="676454181" name="Picture 676454181" descr="A graph of different colo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454181" name="Picture 676454181" descr="A graph of different colored lines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540A9" w14:textId="77777777" w:rsidR="004B73E4" w:rsidRDefault="004B73E4" w:rsidP="004B73E4">
      <w:r>
        <w:rPr>
          <w:noProof/>
        </w:rPr>
        <w:drawing>
          <wp:inline distT="0" distB="0" distL="0" distR="0" wp14:anchorId="13CC7A56" wp14:editId="78828D4F">
            <wp:extent cx="5724524" cy="3810000"/>
            <wp:effectExtent l="0" t="0" r="0" b="0"/>
            <wp:docPr id="2038671610" name="Picture 2038671610" descr="A graph of different colo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671610" name="Picture 2038671610" descr="A graph of different colored lines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E4F91" w14:textId="77777777" w:rsidR="004B73E4" w:rsidRDefault="004B73E4" w:rsidP="004B73E4">
      <w:r>
        <w:t>Observations:</w:t>
      </w:r>
    </w:p>
    <w:p w14:paraId="0E5F1BAF" w14:textId="77777777" w:rsidR="004B73E4" w:rsidRPr="00D75711" w:rsidRDefault="004B73E4" w:rsidP="004B73E4">
      <w:pPr>
        <w:pStyle w:val="ListParagraph"/>
        <w:numPr>
          <w:ilvl w:val="0"/>
          <w:numId w:val="16"/>
        </w:numPr>
      </w:pPr>
      <w:r w:rsidRPr="00D75711">
        <w:t>Impact of Economic Events</w:t>
      </w:r>
    </w:p>
    <w:p w14:paraId="71B5D048" w14:textId="77777777" w:rsidR="004B73E4" w:rsidRPr="003A3A9D" w:rsidRDefault="004B73E4" w:rsidP="004B73E4">
      <w:pPr>
        <w:numPr>
          <w:ilvl w:val="0"/>
          <w:numId w:val="15"/>
        </w:numPr>
        <w:tabs>
          <w:tab w:val="num" w:pos="720"/>
        </w:tabs>
      </w:pPr>
      <w:r w:rsidRPr="003A3A9D">
        <w:lastRenderedPageBreak/>
        <w:t>Economic downturns (e.g., 2008 and 2020) are visible as dips in most stock trends, particularly cyclical sectors (e.g., energy and financials).</w:t>
      </w:r>
    </w:p>
    <w:p w14:paraId="6704447A" w14:textId="77777777" w:rsidR="004B73E4" w:rsidRPr="003A3A9D" w:rsidRDefault="004B73E4" w:rsidP="004B73E4">
      <w:pPr>
        <w:numPr>
          <w:ilvl w:val="1"/>
          <w:numId w:val="15"/>
        </w:numPr>
        <w:tabs>
          <w:tab w:val="num" w:pos="1440"/>
        </w:tabs>
      </w:pPr>
      <w:r w:rsidRPr="003A3A9D">
        <w:rPr>
          <w:b/>
          <w:bCs/>
        </w:rPr>
        <w:t>Insight</w:t>
      </w:r>
      <w:r w:rsidRPr="003A3A9D">
        <w:t>: Defensive sectors (like utilities) maintain stability even during crises.</w:t>
      </w:r>
    </w:p>
    <w:p w14:paraId="29C3F2EF" w14:textId="77777777" w:rsidR="004B73E4" w:rsidRDefault="004B73E4" w:rsidP="004B73E4">
      <w:pPr>
        <w:numPr>
          <w:ilvl w:val="1"/>
          <w:numId w:val="15"/>
        </w:numPr>
        <w:tabs>
          <w:tab w:val="num" w:pos="1440"/>
        </w:tabs>
      </w:pPr>
      <w:r w:rsidRPr="003A3A9D">
        <w:rPr>
          <w:b/>
          <w:bCs/>
        </w:rPr>
        <w:t>Customer Guidance</w:t>
      </w:r>
      <w:r w:rsidRPr="003A3A9D">
        <w:t>: Recommend sector rotation into defensive sectors during periods of economic uncertainty.</w:t>
      </w:r>
    </w:p>
    <w:p w14:paraId="5D4B82E7" w14:textId="77777777" w:rsidR="004B73E4" w:rsidRDefault="004B73E4" w:rsidP="004B73E4">
      <w:pPr>
        <w:pStyle w:val="ListParagraph"/>
        <w:numPr>
          <w:ilvl w:val="0"/>
          <w:numId w:val="16"/>
        </w:numPr>
      </w:pPr>
      <w:r>
        <w:t>Long-Term Outperformers</w:t>
      </w:r>
    </w:p>
    <w:p w14:paraId="34E9CE15" w14:textId="77777777" w:rsidR="004B73E4" w:rsidRDefault="004B73E4" w:rsidP="004B73E4">
      <w:pPr>
        <w:pStyle w:val="ListParagraph"/>
        <w:numPr>
          <w:ilvl w:val="0"/>
          <w:numId w:val="17"/>
        </w:numPr>
      </w:pPr>
      <w:r>
        <w:t>CIGI.TO and CNR.TO: Stand out as leaders with exponential growth over the long term.</w:t>
      </w:r>
    </w:p>
    <w:p w14:paraId="0893C044" w14:textId="77777777" w:rsidR="004B73E4" w:rsidRDefault="004B73E4" w:rsidP="004B73E4">
      <w:pPr>
        <w:pStyle w:val="ListParagraph"/>
        <w:numPr>
          <w:ilvl w:val="0"/>
          <w:numId w:val="17"/>
        </w:numPr>
      </w:pPr>
      <w:r>
        <w:t>Insight: These stocks likely belong to sectors benefiting from long-term structural growth trends.</w:t>
      </w:r>
    </w:p>
    <w:p w14:paraId="2743B2DE" w14:textId="77777777" w:rsidR="004B73E4" w:rsidRDefault="004B73E4" w:rsidP="004B73E4">
      <w:pPr>
        <w:pStyle w:val="ListParagraph"/>
        <w:numPr>
          <w:ilvl w:val="0"/>
          <w:numId w:val="17"/>
        </w:numPr>
      </w:pPr>
      <w:r>
        <w:t>Customer Guidance: Highlight these stocks for long-term investors focused on capital appreciation.</w:t>
      </w:r>
    </w:p>
    <w:p w14:paraId="6B31B108" w14:textId="77777777" w:rsidR="004B73E4" w:rsidRDefault="004B73E4" w:rsidP="004B73E4">
      <w:pPr>
        <w:pStyle w:val="ListParagraph"/>
        <w:numPr>
          <w:ilvl w:val="0"/>
          <w:numId w:val="16"/>
        </w:numPr>
      </w:pPr>
      <w:r>
        <w:t>Risk vs. Stability</w:t>
      </w:r>
    </w:p>
    <w:p w14:paraId="6C617D8F" w14:textId="77777777" w:rsidR="004B73E4" w:rsidRDefault="004B73E4" w:rsidP="004B73E4">
      <w:pPr>
        <w:pStyle w:val="ListParagraph"/>
        <w:numPr>
          <w:ilvl w:val="0"/>
          <w:numId w:val="18"/>
        </w:numPr>
      </w:pPr>
      <w:r>
        <w:t>High-Risk Tickers: BB.TO and ABX.TO demonstrate extreme volatility, which could yield high rewards or significant losses.</w:t>
      </w:r>
    </w:p>
    <w:p w14:paraId="731AC850" w14:textId="77777777" w:rsidR="004B73E4" w:rsidRDefault="004B73E4" w:rsidP="004B73E4">
      <w:pPr>
        <w:pStyle w:val="ListParagraph"/>
        <w:numPr>
          <w:ilvl w:val="1"/>
          <w:numId w:val="18"/>
        </w:numPr>
      </w:pPr>
      <w:r>
        <w:t>Best suited for aggressive investors with high risk tolerance.</w:t>
      </w:r>
    </w:p>
    <w:p w14:paraId="65839E85" w14:textId="77777777" w:rsidR="004B73E4" w:rsidRDefault="004B73E4" w:rsidP="004B73E4">
      <w:pPr>
        <w:pStyle w:val="ListParagraph"/>
        <w:numPr>
          <w:ilvl w:val="0"/>
          <w:numId w:val="18"/>
        </w:numPr>
      </w:pPr>
      <w:r>
        <w:t>Stable Growth Tickers: BCE.TO, BMO.TO, and ATD.TO offer steady returns, making them safer options for conservative investors.</w:t>
      </w:r>
    </w:p>
    <w:p w14:paraId="05653F18" w14:textId="77777777" w:rsidR="004B73E4" w:rsidRDefault="004B73E4" w:rsidP="004B73E4">
      <w:pPr>
        <w:pStyle w:val="ListParagraph"/>
        <w:numPr>
          <w:ilvl w:val="1"/>
          <w:numId w:val="18"/>
        </w:numPr>
      </w:pPr>
      <w:r>
        <w:t>Recommend these for income-focused or risk-averse users.</w:t>
      </w:r>
    </w:p>
    <w:p w14:paraId="183228FA" w14:textId="77777777" w:rsidR="004B73E4" w:rsidRDefault="004B73E4" w:rsidP="004B73E4">
      <w:pPr>
        <w:pStyle w:val="ListParagraph"/>
        <w:numPr>
          <w:ilvl w:val="0"/>
          <w:numId w:val="16"/>
        </w:numPr>
      </w:pPr>
      <w:r>
        <w:t>Highly Volatile Stocks</w:t>
      </w:r>
    </w:p>
    <w:p w14:paraId="575ACD92" w14:textId="77777777" w:rsidR="004B73E4" w:rsidRDefault="004B73E4" w:rsidP="004B73E4">
      <w:pPr>
        <w:pStyle w:val="ListParagraph"/>
        <w:numPr>
          <w:ilvl w:val="0"/>
          <w:numId w:val="19"/>
        </w:numPr>
      </w:pPr>
      <w:r>
        <w:t>BB.TO and ABX.TO: Exhibit significant fluctuations and periods of steep decline (e.g., during economic downturns like 2008 and 2020).</w:t>
      </w:r>
    </w:p>
    <w:p w14:paraId="518D3035" w14:textId="77777777" w:rsidR="004B73E4" w:rsidRDefault="004B73E4" w:rsidP="004B73E4">
      <w:pPr>
        <w:pStyle w:val="ListParagraph"/>
        <w:numPr>
          <w:ilvl w:val="1"/>
          <w:numId w:val="19"/>
        </w:numPr>
      </w:pPr>
      <w:r>
        <w:t>Insight: These are likely in cyclical sectors (e.g., technology or mining), reacting strongly to market sentiment and macroeconomic factors.</w:t>
      </w:r>
    </w:p>
    <w:p w14:paraId="307F36C0" w14:textId="77777777" w:rsidR="004B73E4" w:rsidRDefault="004B73E4" w:rsidP="004B73E4">
      <w:pPr>
        <w:pStyle w:val="ListParagraph"/>
        <w:numPr>
          <w:ilvl w:val="1"/>
          <w:numId w:val="19"/>
        </w:numPr>
      </w:pPr>
      <w:r>
        <w:t>Customer Guidance: Recommend for short-term, high-risk investors or those tracking specific market trends (e.g., gold price fluctuations for ABX.TO).</w:t>
      </w:r>
    </w:p>
    <w:p w14:paraId="1B6420E5" w14:textId="77777777" w:rsidR="004B73E4" w:rsidRDefault="004B73E4" w:rsidP="004B73E4">
      <w:pPr>
        <w:pStyle w:val="ListParagraph"/>
        <w:numPr>
          <w:ilvl w:val="0"/>
          <w:numId w:val="16"/>
        </w:numPr>
      </w:pPr>
      <w:r>
        <w:t>Strong Performers</w:t>
      </w:r>
    </w:p>
    <w:p w14:paraId="6B4EAD0F" w14:textId="77777777" w:rsidR="004B73E4" w:rsidRDefault="004B73E4" w:rsidP="004B73E4">
      <w:pPr>
        <w:pStyle w:val="ListParagraph"/>
        <w:numPr>
          <w:ilvl w:val="0"/>
          <w:numId w:val="19"/>
        </w:numPr>
      </w:pPr>
      <w:r>
        <w:t>CIGI.TO: Exhibits significant price growth, especially after 2016, indicating consistent upward momentum and strong sector performance (possibly real estate or growth-focused).</w:t>
      </w:r>
    </w:p>
    <w:p w14:paraId="4451F74F" w14:textId="77777777" w:rsidR="004B73E4" w:rsidRDefault="004B73E4" w:rsidP="004B73E4">
      <w:pPr>
        <w:pStyle w:val="ListParagraph"/>
        <w:numPr>
          <w:ilvl w:val="1"/>
          <w:numId w:val="19"/>
        </w:numPr>
      </w:pPr>
      <w:r>
        <w:t>Insight: Suitable for investors seeking high-growth stocks.</w:t>
      </w:r>
    </w:p>
    <w:p w14:paraId="17896A0B" w14:textId="77777777" w:rsidR="004B73E4" w:rsidRDefault="004B73E4" w:rsidP="004B73E4">
      <w:pPr>
        <w:pStyle w:val="ListParagraph"/>
        <w:numPr>
          <w:ilvl w:val="0"/>
          <w:numId w:val="19"/>
        </w:numPr>
      </w:pPr>
      <w:r>
        <w:t>CNR.TO and BMO.TO: Show stable and consistent growth over the years, indicating resilience and potential for long-term investments.</w:t>
      </w:r>
    </w:p>
    <w:p w14:paraId="0DB5E165" w14:textId="77777777" w:rsidR="004B73E4" w:rsidRDefault="004B73E4" w:rsidP="004B73E4">
      <w:pPr>
        <w:pStyle w:val="ListParagraph"/>
        <w:numPr>
          <w:ilvl w:val="1"/>
          <w:numId w:val="19"/>
        </w:numPr>
      </w:pPr>
      <w:r>
        <w:t>Insight: Ideal for investors with moderate risk tolerance aiming for steady growth.</w:t>
      </w:r>
    </w:p>
    <w:p w14:paraId="1594986A" w14:textId="77777777" w:rsidR="004B73E4" w:rsidRPr="00213EDF" w:rsidRDefault="004B73E4" w:rsidP="004B73E4">
      <w:pPr>
        <w:rPr>
          <w:b/>
          <w:bCs/>
        </w:rPr>
      </w:pPr>
      <w:r w:rsidRPr="00213EDF">
        <w:rPr>
          <w:b/>
          <w:bCs/>
        </w:rPr>
        <w:t>Sector Analysis and Connections</w:t>
      </w:r>
    </w:p>
    <w:p w14:paraId="00A7E13F" w14:textId="77777777" w:rsidR="004B73E4" w:rsidRPr="00213EDF" w:rsidRDefault="004B73E4" w:rsidP="004B73E4">
      <w:pPr>
        <w:numPr>
          <w:ilvl w:val="0"/>
          <w:numId w:val="20"/>
        </w:numPr>
      </w:pPr>
      <w:r w:rsidRPr="00213EDF">
        <w:rPr>
          <w:b/>
          <w:bCs/>
        </w:rPr>
        <w:lastRenderedPageBreak/>
        <w:t>Financial Sector (e.g., BMO.TO)</w:t>
      </w:r>
    </w:p>
    <w:p w14:paraId="4378CCFB" w14:textId="77777777" w:rsidR="004B73E4" w:rsidRPr="00213EDF" w:rsidRDefault="004B73E4" w:rsidP="004B73E4">
      <w:pPr>
        <w:numPr>
          <w:ilvl w:val="1"/>
          <w:numId w:val="20"/>
        </w:numPr>
      </w:pPr>
      <w:r w:rsidRPr="00213EDF">
        <w:rPr>
          <w:b/>
          <w:bCs/>
        </w:rPr>
        <w:t>Connection to Energy</w:t>
      </w:r>
      <w:r w:rsidRPr="00213EDF">
        <w:t>:</w:t>
      </w:r>
      <w:r w:rsidRPr="00213EDF">
        <w:br/>
        <w:t>Financial institutions are often exposed to the energy sector through lending and investments. A downturn in energy prices (affecting stocks like CNQ.TO) can lead to increased loan defaults or reduced profits for banks.</w:t>
      </w:r>
    </w:p>
    <w:p w14:paraId="0C5CA1A3" w14:textId="77777777" w:rsidR="004B73E4" w:rsidRPr="00213EDF" w:rsidRDefault="004B73E4" w:rsidP="004B73E4">
      <w:pPr>
        <w:numPr>
          <w:ilvl w:val="1"/>
          <w:numId w:val="20"/>
        </w:numPr>
      </w:pPr>
      <w:r w:rsidRPr="00213EDF">
        <w:rPr>
          <w:b/>
          <w:bCs/>
        </w:rPr>
        <w:t>Connection to Real Estate</w:t>
      </w:r>
      <w:r w:rsidRPr="00213EDF">
        <w:t>:</w:t>
      </w:r>
      <w:r w:rsidRPr="00213EDF">
        <w:br/>
        <w:t>Financial health influences real estate investment activities. A positive outlook in financials may lead to growth in real estate sectors like CIGI.TO.</w:t>
      </w:r>
    </w:p>
    <w:p w14:paraId="58B1B119" w14:textId="77777777" w:rsidR="004B73E4" w:rsidRPr="00213EDF" w:rsidRDefault="004B73E4" w:rsidP="004B73E4">
      <w:pPr>
        <w:numPr>
          <w:ilvl w:val="0"/>
          <w:numId w:val="20"/>
        </w:numPr>
      </w:pPr>
      <w:r w:rsidRPr="00213EDF">
        <w:rPr>
          <w:b/>
          <w:bCs/>
        </w:rPr>
        <w:t>Energy Sector (e.g., CNQ.TO)</w:t>
      </w:r>
    </w:p>
    <w:p w14:paraId="33E3DF7A" w14:textId="77777777" w:rsidR="004B73E4" w:rsidRPr="00213EDF" w:rsidRDefault="004B73E4" w:rsidP="004B73E4">
      <w:pPr>
        <w:numPr>
          <w:ilvl w:val="1"/>
          <w:numId w:val="20"/>
        </w:numPr>
      </w:pPr>
      <w:r w:rsidRPr="00213EDF">
        <w:rPr>
          <w:b/>
          <w:bCs/>
        </w:rPr>
        <w:t>Connection to Industrial</w:t>
      </w:r>
      <w:r w:rsidRPr="00213EDF">
        <w:t>:</w:t>
      </w:r>
      <w:r w:rsidRPr="00213EDF">
        <w:br/>
        <w:t>Energy prices directly affect operational costs in the industrial sector (e.g., CNR.TO). Rising energy prices may reduce profit margins for industrial companies.</w:t>
      </w:r>
    </w:p>
    <w:p w14:paraId="48012B87" w14:textId="77777777" w:rsidR="004B73E4" w:rsidRPr="00213EDF" w:rsidRDefault="004B73E4" w:rsidP="004B73E4">
      <w:pPr>
        <w:numPr>
          <w:ilvl w:val="1"/>
          <w:numId w:val="20"/>
        </w:numPr>
      </w:pPr>
      <w:r w:rsidRPr="00213EDF">
        <w:rPr>
          <w:b/>
          <w:bCs/>
        </w:rPr>
        <w:t>Connection to Consumer Staples</w:t>
      </w:r>
      <w:r w:rsidRPr="00213EDF">
        <w:t>:</w:t>
      </w:r>
      <w:r w:rsidRPr="00213EDF">
        <w:br/>
        <w:t>High energy prices often lead to increased transportation and production costs, indirectly raising prices for consumer goods (e.g., ATD.TO).</w:t>
      </w:r>
    </w:p>
    <w:p w14:paraId="6FEFBC92" w14:textId="77777777" w:rsidR="004B73E4" w:rsidRPr="00213EDF" w:rsidRDefault="004B73E4" w:rsidP="004B73E4">
      <w:pPr>
        <w:numPr>
          <w:ilvl w:val="0"/>
          <w:numId w:val="20"/>
        </w:numPr>
      </w:pPr>
      <w:r w:rsidRPr="00213EDF">
        <w:rPr>
          <w:b/>
          <w:bCs/>
        </w:rPr>
        <w:t>Industrial Sector (e.g., CNR.TO)</w:t>
      </w:r>
    </w:p>
    <w:p w14:paraId="5B2227C5" w14:textId="77777777" w:rsidR="004B73E4" w:rsidRPr="00213EDF" w:rsidRDefault="004B73E4" w:rsidP="004B73E4">
      <w:pPr>
        <w:numPr>
          <w:ilvl w:val="1"/>
          <w:numId w:val="20"/>
        </w:numPr>
      </w:pPr>
      <w:r w:rsidRPr="00213EDF">
        <w:rPr>
          <w:b/>
          <w:bCs/>
        </w:rPr>
        <w:t>Connection to Consumer Discretionary</w:t>
      </w:r>
      <w:r w:rsidRPr="00213EDF">
        <w:t>:</w:t>
      </w:r>
      <w:r w:rsidRPr="00213EDF">
        <w:br/>
        <w:t>As industrial activity increases, transportation and logistics costs (affected by stocks like CNR.TO) can impact discretionary spending by consumers.</w:t>
      </w:r>
    </w:p>
    <w:p w14:paraId="485C9EC9" w14:textId="77777777" w:rsidR="004B73E4" w:rsidRPr="00213EDF" w:rsidRDefault="004B73E4" w:rsidP="004B73E4">
      <w:pPr>
        <w:numPr>
          <w:ilvl w:val="0"/>
          <w:numId w:val="20"/>
        </w:numPr>
      </w:pPr>
      <w:r w:rsidRPr="00213EDF">
        <w:rPr>
          <w:b/>
          <w:bCs/>
        </w:rPr>
        <w:t>Gold &amp; Mining Sector (e.g., ABX.TO)</w:t>
      </w:r>
    </w:p>
    <w:p w14:paraId="24446647" w14:textId="77777777" w:rsidR="004B73E4" w:rsidRPr="00213EDF" w:rsidRDefault="004B73E4" w:rsidP="004B73E4">
      <w:pPr>
        <w:numPr>
          <w:ilvl w:val="1"/>
          <w:numId w:val="20"/>
        </w:numPr>
      </w:pPr>
      <w:r w:rsidRPr="00213EDF">
        <w:rPr>
          <w:b/>
          <w:bCs/>
        </w:rPr>
        <w:t>Connection to Financials</w:t>
      </w:r>
      <w:r w:rsidRPr="00213EDF">
        <w:t>:</w:t>
      </w:r>
      <w:r w:rsidRPr="00213EDF">
        <w:br/>
        <w:t>Gold prices often rise during economic uncertainty, leading to reduced confidence in financial stocks. Investors tend to shift from financial instruments to safe-haven investments like gold.</w:t>
      </w:r>
    </w:p>
    <w:p w14:paraId="6F1482CA" w14:textId="77777777" w:rsidR="004B73E4" w:rsidRPr="00213EDF" w:rsidRDefault="004B73E4" w:rsidP="004B73E4">
      <w:pPr>
        <w:numPr>
          <w:ilvl w:val="1"/>
          <w:numId w:val="20"/>
        </w:numPr>
      </w:pPr>
      <w:r w:rsidRPr="00213EDF">
        <w:rPr>
          <w:b/>
          <w:bCs/>
        </w:rPr>
        <w:t>Inverse Relationship to Growth Sectors</w:t>
      </w:r>
      <w:r w:rsidRPr="00213EDF">
        <w:t>:</w:t>
      </w:r>
      <w:r w:rsidRPr="00213EDF">
        <w:br/>
        <w:t>Gold typically performs well during downturns, while growth sectors (e.g., tech like BB.TO) may underperform.</w:t>
      </w:r>
    </w:p>
    <w:p w14:paraId="00EA66CA" w14:textId="77777777" w:rsidR="004B73E4" w:rsidRPr="00213EDF" w:rsidRDefault="004B73E4" w:rsidP="004B73E4">
      <w:pPr>
        <w:numPr>
          <w:ilvl w:val="0"/>
          <w:numId w:val="20"/>
        </w:numPr>
      </w:pPr>
      <w:r w:rsidRPr="00213EDF">
        <w:rPr>
          <w:b/>
          <w:bCs/>
        </w:rPr>
        <w:t>Technology Sector (e.g., BB.TO)</w:t>
      </w:r>
    </w:p>
    <w:p w14:paraId="3B75F9F9" w14:textId="77777777" w:rsidR="004B73E4" w:rsidRPr="00213EDF" w:rsidRDefault="004B73E4" w:rsidP="004B73E4">
      <w:pPr>
        <w:numPr>
          <w:ilvl w:val="1"/>
          <w:numId w:val="20"/>
        </w:numPr>
      </w:pPr>
      <w:r w:rsidRPr="00213EDF">
        <w:rPr>
          <w:b/>
          <w:bCs/>
        </w:rPr>
        <w:t>Connection to Financials</w:t>
      </w:r>
      <w:r w:rsidRPr="00213EDF">
        <w:t>:</w:t>
      </w:r>
      <w:r w:rsidRPr="00213EDF">
        <w:br/>
        <w:t xml:space="preserve">Technology companies rely on funding and capital from financial </w:t>
      </w:r>
      <w:r w:rsidRPr="00213EDF">
        <w:lastRenderedPageBreak/>
        <w:t>institutions. If financials are under stress, investment in tech companies may slow down.</w:t>
      </w:r>
    </w:p>
    <w:p w14:paraId="38038DD7" w14:textId="77777777" w:rsidR="004B73E4" w:rsidRPr="00213EDF" w:rsidRDefault="004B73E4" w:rsidP="004B73E4">
      <w:pPr>
        <w:numPr>
          <w:ilvl w:val="1"/>
          <w:numId w:val="20"/>
        </w:numPr>
      </w:pPr>
      <w:r w:rsidRPr="00213EDF">
        <w:rPr>
          <w:b/>
          <w:bCs/>
        </w:rPr>
        <w:t>Connection to Consumer Spending</w:t>
      </w:r>
      <w:r w:rsidRPr="00213EDF">
        <w:t>:</w:t>
      </w:r>
      <w:r w:rsidRPr="00213EDF">
        <w:br/>
        <w:t>Tech adoption is closely tied to consumer discretionary spending. Economic stress (affecting consumer staples) can reduce demand for technology.</w:t>
      </w:r>
    </w:p>
    <w:p w14:paraId="7B6541E0" w14:textId="77777777" w:rsidR="004B73E4" w:rsidRPr="00213EDF" w:rsidRDefault="004B73E4" w:rsidP="004B73E4">
      <w:pPr>
        <w:numPr>
          <w:ilvl w:val="0"/>
          <w:numId w:val="20"/>
        </w:numPr>
      </w:pPr>
      <w:r w:rsidRPr="00213EDF">
        <w:rPr>
          <w:b/>
          <w:bCs/>
        </w:rPr>
        <w:t>Consumer Staples (e.g., ATD.TO)</w:t>
      </w:r>
    </w:p>
    <w:p w14:paraId="769D273B" w14:textId="77777777" w:rsidR="004B73E4" w:rsidRPr="00213EDF" w:rsidRDefault="004B73E4" w:rsidP="004B73E4">
      <w:pPr>
        <w:numPr>
          <w:ilvl w:val="1"/>
          <w:numId w:val="20"/>
        </w:numPr>
      </w:pPr>
      <w:r w:rsidRPr="00213EDF">
        <w:rPr>
          <w:b/>
          <w:bCs/>
        </w:rPr>
        <w:t>Connection to Industrial and Energy</w:t>
      </w:r>
      <w:r w:rsidRPr="00213EDF">
        <w:t>:</w:t>
      </w:r>
      <w:r w:rsidRPr="00213EDF">
        <w:br/>
        <w:t>Rising industrial and energy costs can reduce profit margins for consumer staple companies as raw material and logistics expenses increase.</w:t>
      </w:r>
    </w:p>
    <w:p w14:paraId="05F70231" w14:textId="77777777" w:rsidR="004B73E4" w:rsidRPr="00213EDF" w:rsidRDefault="004B73E4" w:rsidP="004B73E4">
      <w:pPr>
        <w:numPr>
          <w:ilvl w:val="1"/>
          <w:numId w:val="20"/>
        </w:numPr>
      </w:pPr>
      <w:r w:rsidRPr="00213EDF">
        <w:rPr>
          <w:b/>
          <w:bCs/>
        </w:rPr>
        <w:t>Connection to Gold</w:t>
      </w:r>
      <w:r w:rsidRPr="00213EDF">
        <w:t>:</w:t>
      </w:r>
      <w:r w:rsidRPr="00213EDF">
        <w:br/>
        <w:t>Consumer staples and gold often perform well during downturns, as they represent stability and essential goods.</w:t>
      </w:r>
    </w:p>
    <w:p w14:paraId="701BB9BC" w14:textId="77777777" w:rsidR="004B73E4" w:rsidRPr="00213EDF" w:rsidRDefault="004B73E4" w:rsidP="004B73E4">
      <w:pPr>
        <w:numPr>
          <w:ilvl w:val="0"/>
          <w:numId w:val="20"/>
        </w:numPr>
      </w:pPr>
      <w:r w:rsidRPr="00213EDF">
        <w:rPr>
          <w:b/>
          <w:bCs/>
        </w:rPr>
        <w:t>Real Estate Sector (e.g., CIGI.TO)</w:t>
      </w:r>
    </w:p>
    <w:p w14:paraId="72B15A61" w14:textId="77777777" w:rsidR="004B73E4" w:rsidRPr="00213EDF" w:rsidRDefault="004B73E4" w:rsidP="004B73E4">
      <w:pPr>
        <w:numPr>
          <w:ilvl w:val="1"/>
          <w:numId w:val="20"/>
        </w:numPr>
      </w:pPr>
      <w:r w:rsidRPr="00213EDF">
        <w:rPr>
          <w:b/>
          <w:bCs/>
        </w:rPr>
        <w:t>Connection to Financials</w:t>
      </w:r>
      <w:r w:rsidRPr="00213EDF">
        <w:t>:</w:t>
      </w:r>
      <w:r w:rsidRPr="00213EDF">
        <w:br/>
        <w:t>Real estate activity is heavily dependent on the financial sector's lending environment. High interest rates can reduce borrowing and hurt real estate investments.</w:t>
      </w:r>
    </w:p>
    <w:p w14:paraId="18E52976" w14:textId="77777777" w:rsidR="004B73E4" w:rsidRPr="00213EDF" w:rsidRDefault="004B73E4" w:rsidP="004B73E4">
      <w:pPr>
        <w:rPr>
          <w:b/>
          <w:bCs/>
        </w:rPr>
      </w:pPr>
      <w:r w:rsidRPr="00213EDF">
        <w:rPr>
          <w:b/>
          <w:bCs/>
        </w:rPr>
        <w:t>Insights for the Investor</w:t>
      </w:r>
    </w:p>
    <w:p w14:paraId="2A744ED6" w14:textId="77777777" w:rsidR="004B73E4" w:rsidRPr="00213EDF" w:rsidRDefault="004B73E4" w:rsidP="004B73E4">
      <w:pPr>
        <w:numPr>
          <w:ilvl w:val="0"/>
          <w:numId w:val="21"/>
        </w:numPr>
      </w:pPr>
      <w:r w:rsidRPr="00213EDF">
        <w:rPr>
          <w:b/>
          <w:bCs/>
        </w:rPr>
        <w:t>Energy as a Catalyst</w:t>
      </w:r>
      <w:r w:rsidRPr="00213EDF">
        <w:t>: Changes in energy prices can have ripple effects across financials, industrials, and consumer staples. Investors should monitor energy sector performance to anticipate broader market impacts.</w:t>
      </w:r>
    </w:p>
    <w:p w14:paraId="4B013FB5" w14:textId="77777777" w:rsidR="004B73E4" w:rsidRPr="00213EDF" w:rsidRDefault="004B73E4" w:rsidP="004B73E4">
      <w:pPr>
        <w:numPr>
          <w:ilvl w:val="0"/>
          <w:numId w:val="21"/>
        </w:numPr>
      </w:pPr>
      <w:r w:rsidRPr="00213EDF">
        <w:rPr>
          <w:b/>
          <w:bCs/>
        </w:rPr>
        <w:t>Gold as a Hedge</w:t>
      </w:r>
      <w:r w:rsidRPr="00213EDF">
        <w:t>: Gold is negatively correlated with growth and financial sectors. It is a reliable hedge during market volatility.</w:t>
      </w:r>
    </w:p>
    <w:p w14:paraId="09F5E60A" w14:textId="77777777" w:rsidR="004B73E4" w:rsidRPr="00213EDF" w:rsidRDefault="004B73E4" w:rsidP="004B73E4">
      <w:pPr>
        <w:numPr>
          <w:ilvl w:val="0"/>
          <w:numId w:val="21"/>
        </w:numPr>
      </w:pPr>
      <w:r w:rsidRPr="00213EDF">
        <w:rPr>
          <w:b/>
          <w:bCs/>
        </w:rPr>
        <w:t>Sector Synergies</w:t>
      </w:r>
      <w:r w:rsidRPr="00213EDF">
        <w:t>:</w:t>
      </w:r>
    </w:p>
    <w:p w14:paraId="3986B499" w14:textId="77777777" w:rsidR="004B73E4" w:rsidRPr="00213EDF" w:rsidRDefault="004B73E4" w:rsidP="004B73E4">
      <w:pPr>
        <w:numPr>
          <w:ilvl w:val="1"/>
          <w:numId w:val="21"/>
        </w:numPr>
      </w:pPr>
      <w:r w:rsidRPr="00213EDF">
        <w:t>Financials and real estate are closely linked; growth in one often supports the other.</w:t>
      </w:r>
    </w:p>
    <w:p w14:paraId="7FCB1670" w14:textId="77777777" w:rsidR="004B73E4" w:rsidRPr="00213EDF" w:rsidRDefault="004B73E4" w:rsidP="004B73E4">
      <w:pPr>
        <w:numPr>
          <w:ilvl w:val="1"/>
          <w:numId w:val="21"/>
        </w:numPr>
      </w:pPr>
      <w:r w:rsidRPr="00213EDF">
        <w:t>Industrials and energy share a direct cost relationship; rising energy prices can reduce industrial profits.</w:t>
      </w:r>
    </w:p>
    <w:p w14:paraId="740484E2" w14:textId="75471567" w:rsidR="004B73E4" w:rsidRPr="004B73E4" w:rsidRDefault="004B73E4" w:rsidP="004B73E4">
      <w:pPr>
        <w:numPr>
          <w:ilvl w:val="0"/>
          <w:numId w:val="21"/>
        </w:numPr>
      </w:pPr>
      <w:r w:rsidRPr="00213EDF">
        <w:rPr>
          <w:b/>
          <w:bCs/>
        </w:rPr>
        <w:t>Portfolio Diversification</w:t>
      </w:r>
      <w:r w:rsidRPr="00213EDF">
        <w:t>: Ensure exposure across unrelated sectors (e.g., financials, gold, and consumer staples) to minimize risks from sector-specific downturns.</w:t>
      </w:r>
      <w:r>
        <w:br/>
      </w:r>
    </w:p>
    <w:bookmarkEnd w:id="0"/>
    <w:p w14:paraId="60B20D4F" w14:textId="271F0C6E" w:rsidR="00AC3A21" w:rsidRPr="008167CD" w:rsidRDefault="00AC3A21" w:rsidP="5EECCAC3">
      <w:pPr>
        <w:spacing w:after="0"/>
        <w:rPr>
          <w:rFonts w:ascii="Times New Roman" w:eastAsia="Aptos" w:hAnsi="Times New Roman" w:cs="Times New Roman"/>
        </w:rPr>
      </w:pPr>
    </w:p>
    <w:sectPr w:rsidR="00AC3A21" w:rsidRPr="008167C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04DB"/>
    <w:multiLevelType w:val="hybridMultilevel"/>
    <w:tmpl w:val="E3584C4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D842C"/>
    <w:multiLevelType w:val="hybridMultilevel"/>
    <w:tmpl w:val="DEC029AE"/>
    <w:lvl w:ilvl="0" w:tplc="4A0AEA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5A88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6C82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881E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CA6B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A634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B005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DC75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4A60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EBFC4A"/>
    <w:multiLevelType w:val="hybridMultilevel"/>
    <w:tmpl w:val="759AFB08"/>
    <w:lvl w:ilvl="0" w:tplc="2CA86E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8836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6A72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620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96DE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2CF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FEE0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789E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CE8F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7FB3CF"/>
    <w:multiLevelType w:val="hybridMultilevel"/>
    <w:tmpl w:val="804EAF6E"/>
    <w:lvl w:ilvl="0" w:tplc="8B687F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2415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2AE8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7ABE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EC47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1EA7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6C28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F237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AE03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B9F9A2"/>
    <w:multiLevelType w:val="hybridMultilevel"/>
    <w:tmpl w:val="1108C35E"/>
    <w:lvl w:ilvl="0" w:tplc="81B8FB0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88CF5A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831660A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1AEBE7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150250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5D3A16A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3A88D3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114323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C14461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C52DA71"/>
    <w:multiLevelType w:val="hybridMultilevel"/>
    <w:tmpl w:val="12386AB0"/>
    <w:lvl w:ilvl="0" w:tplc="63D8E09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99328C6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774451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F961C1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DD2A8B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2F8A410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744068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C5A75E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F92C08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30A8456"/>
    <w:multiLevelType w:val="hybridMultilevel"/>
    <w:tmpl w:val="642C70A6"/>
    <w:lvl w:ilvl="0" w:tplc="21808E12">
      <w:start w:val="1"/>
      <w:numFmt w:val="decimal"/>
      <w:lvlText w:val="%1."/>
      <w:lvlJc w:val="left"/>
      <w:pPr>
        <w:ind w:left="720" w:hanging="360"/>
      </w:pPr>
    </w:lvl>
    <w:lvl w:ilvl="1" w:tplc="DF125B20">
      <w:start w:val="1"/>
      <w:numFmt w:val="lowerLetter"/>
      <w:lvlText w:val="%2."/>
      <w:lvlJc w:val="left"/>
      <w:pPr>
        <w:ind w:left="1440" w:hanging="360"/>
      </w:pPr>
    </w:lvl>
    <w:lvl w:ilvl="2" w:tplc="42309522">
      <w:start w:val="1"/>
      <w:numFmt w:val="lowerRoman"/>
      <w:lvlText w:val="%3."/>
      <w:lvlJc w:val="right"/>
      <w:pPr>
        <w:ind w:left="2160" w:hanging="180"/>
      </w:pPr>
    </w:lvl>
    <w:lvl w:ilvl="3" w:tplc="C9A6A090">
      <w:start w:val="1"/>
      <w:numFmt w:val="decimal"/>
      <w:lvlText w:val="%4."/>
      <w:lvlJc w:val="left"/>
      <w:pPr>
        <w:ind w:left="2880" w:hanging="360"/>
      </w:pPr>
    </w:lvl>
    <w:lvl w:ilvl="4" w:tplc="2410EF56">
      <w:start w:val="1"/>
      <w:numFmt w:val="lowerLetter"/>
      <w:lvlText w:val="%5."/>
      <w:lvlJc w:val="left"/>
      <w:pPr>
        <w:ind w:left="3600" w:hanging="360"/>
      </w:pPr>
    </w:lvl>
    <w:lvl w:ilvl="5" w:tplc="64880A84">
      <w:start w:val="1"/>
      <w:numFmt w:val="lowerRoman"/>
      <w:lvlText w:val="%6."/>
      <w:lvlJc w:val="right"/>
      <w:pPr>
        <w:ind w:left="4320" w:hanging="180"/>
      </w:pPr>
    </w:lvl>
    <w:lvl w:ilvl="6" w:tplc="C2DAB008">
      <w:start w:val="1"/>
      <w:numFmt w:val="decimal"/>
      <w:lvlText w:val="%7."/>
      <w:lvlJc w:val="left"/>
      <w:pPr>
        <w:ind w:left="5040" w:hanging="360"/>
      </w:pPr>
    </w:lvl>
    <w:lvl w:ilvl="7" w:tplc="CBF63C76">
      <w:start w:val="1"/>
      <w:numFmt w:val="lowerLetter"/>
      <w:lvlText w:val="%8."/>
      <w:lvlJc w:val="left"/>
      <w:pPr>
        <w:ind w:left="5760" w:hanging="360"/>
      </w:pPr>
    </w:lvl>
    <w:lvl w:ilvl="8" w:tplc="022A5E7C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98A58B"/>
    <w:multiLevelType w:val="hybridMultilevel"/>
    <w:tmpl w:val="58DC697E"/>
    <w:lvl w:ilvl="0" w:tplc="73BC543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4F23DC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5B7039B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F4E571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37A256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965CE30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CFE817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742A071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B7EA124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BCE40BA"/>
    <w:multiLevelType w:val="hybridMultilevel"/>
    <w:tmpl w:val="B70E1114"/>
    <w:lvl w:ilvl="0" w:tplc="E18AEEB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174447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3FAECD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8A6046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F705C7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B018F50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73CEB2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0C4C1E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7AF2F67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B78CD3F"/>
    <w:multiLevelType w:val="hybridMultilevel"/>
    <w:tmpl w:val="20EC69CE"/>
    <w:lvl w:ilvl="0" w:tplc="5AFA942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6781F7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368C08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ADC80E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3E62E2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2250A7F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28E65A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602DE6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388C45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D25013C"/>
    <w:multiLevelType w:val="hybridMultilevel"/>
    <w:tmpl w:val="190C6592"/>
    <w:lvl w:ilvl="0" w:tplc="E18AEEB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113F500"/>
    <w:multiLevelType w:val="hybridMultilevel"/>
    <w:tmpl w:val="19C894FC"/>
    <w:lvl w:ilvl="0" w:tplc="2EE2D9E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8A924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5950AC6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464EBF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C32BE0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2F9828E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2D4FDD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E1CE23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C02A85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31A72DE"/>
    <w:multiLevelType w:val="multilevel"/>
    <w:tmpl w:val="D9BA35F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853021"/>
    <w:multiLevelType w:val="hybridMultilevel"/>
    <w:tmpl w:val="F566EAC2"/>
    <w:lvl w:ilvl="0" w:tplc="E18AEEB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84FD024"/>
    <w:multiLevelType w:val="hybridMultilevel"/>
    <w:tmpl w:val="1952CC2C"/>
    <w:lvl w:ilvl="0" w:tplc="545CC32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2CE026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DC1A533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3C040D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5C4AF5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C40B24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DEE69A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3824C1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C3AC06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B313D6E"/>
    <w:multiLevelType w:val="hybridMultilevel"/>
    <w:tmpl w:val="ACA254FE"/>
    <w:lvl w:ilvl="0" w:tplc="F27E7F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A491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3643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9C5D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F638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147C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D085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4236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E4D5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B737FB"/>
    <w:multiLevelType w:val="hybridMultilevel"/>
    <w:tmpl w:val="4DDEA348"/>
    <w:lvl w:ilvl="0" w:tplc="A642B780">
      <w:start w:val="1"/>
      <w:numFmt w:val="decimal"/>
      <w:lvlText w:val="%1."/>
      <w:lvlJc w:val="left"/>
      <w:pPr>
        <w:ind w:left="720" w:hanging="360"/>
      </w:pPr>
    </w:lvl>
    <w:lvl w:ilvl="1" w:tplc="237A4808">
      <w:start w:val="1"/>
      <w:numFmt w:val="lowerLetter"/>
      <w:lvlText w:val="%2."/>
      <w:lvlJc w:val="left"/>
      <w:pPr>
        <w:ind w:left="1440" w:hanging="360"/>
      </w:pPr>
    </w:lvl>
    <w:lvl w:ilvl="2" w:tplc="B720BAD2">
      <w:start w:val="1"/>
      <w:numFmt w:val="lowerRoman"/>
      <w:lvlText w:val="%3."/>
      <w:lvlJc w:val="right"/>
      <w:pPr>
        <w:ind w:left="2160" w:hanging="180"/>
      </w:pPr>
    </w:lvl>
    <w:lvl w:ilvl="3" w:tplc="B9F8D1F4">
      <w:start w:val="1"/>
      <w:numFmt w:val="decimal"/>
      <w:lvlText w:val="%4."/>
      <w:lvlJc w:val="left"/>
      <w:pPr>
        <w:ind w:left="2880" w:hanging="360"/>
      </w:pPr>
    </w:lvl>
    <w:lvl w:ilvl="4" w:tplc="2B2EF23A">
      <w:start w:val="1"/>
      <w:numFmt w:val="lowerLetter"/>
      <w:lvlText w:val="%5."/>
      <w:lvlJc w:val="left"/>
      <w:pPr>
        <w:ind w:left="3600" w:hanging="360"/>
      </w:pPr>
    </w:lvl>
    <w:lvl w:ilvl="5" w:tplc="37005A24">
      <w:start w:val="1"/>
      <w:numFmt w:val="lowerRoman"/>
      <w:lvlText w:val="%6."/>
      <w:lvlJc w:val="right"/>
      <w:pPr>
        <w:ind w:left="4320" w:hanging="180"/>
      </w:pPr>
    </w:lvl>
    <w:lvl w:ilvl="6" w:tplc="8BDA9DA2">
      <w:start w:val="1"/>
      <w:numFmt w:val="decimal"/>
      <w:lvlText w:val="%7."/>
      <w:lvlJc w:val="left"/>
      <w:pPr>
        <w:ind w:left="5040" w:hanging="360"/>
      </w:pPr>
    </w:lvl>
    <w:lvl w:ilvl="7" w:tplc="DFFA39E4">
      <w:start w:val="1"/>
      <w:numFmt w:val="lowerLetter"/>
      <w:lvlText w:val="%8."/>
      <w:lvlJc w:val="left"/>
      <w:pPr>
        <w:ind w:left="5760" w:hanging="360"/>
      </w:pPr>
    </w:lvl>
    <w:lvl w:ilvl="8" w:tplc="3B882842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EE2009"/>
    <w:multiLevelType w:val="hybridMultilevel"/>
    <w:tmpl w:val="8318A60E"/>
    <w:lvl w:ilvl="0" w:tplc="E18AEEB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83D4900"/>
    <w:multiLevelType w:val="multilevel"/>
    <w:tmpl w:val="9BDE1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C01531D"/>
    <w:multiLevelType w:val="hybridMultilevel"/>
    <w:tmpl w:val="21423C9E"/>
    <w:lvl w:ilvl="0" w:tplc="E9B8E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3B897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286E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8627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0630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54D2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4E39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C6BB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229A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1F3ECD"/>
    <w:multiLevelType w:val="multilevel"/>
    <w:tmpl w:val="07583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7678461">
    <w:abstractNumId w:val="7"/>
  </w:num>
  <w:num w:numId="2" w16cid:durableId="824008468">
    <w:abstractNumId w:val="9"/>
  </w:num>
  <w:num w:numId="3" w16cid:durableId="1931307178">
    <w:abstractNumId w:val="6"/>
  </w:num>
  <w:num w:numId="4" w16cid:durableId="1362633660">
    <w:abstractNumId w:val="11"/>
  </w:num>
  <w:num w:numId="5" w16cid:durableId="169100150">
    <w:abstractNumId w:val="2"/>
  </w:num>
  <w:num w:numId="6" w16cid:durableId="616062221">
    <w:abstractNumId w:val="5"/>
  </w:num>
  <w:num w:numId="7" w16cid:durableId="684213741">
    <w:abstractNumId w:val="19"/>
  </w:num>
  <w:num w:numId="8" w16cid:durableId="1520894907">
    <w:abstractNumId w:val="4"/>
  </w:num>
  <w:num w:numId="9" w16cid:durableId="434790034">
    <w:abstractNumId w:val="3"/>
  </w:num>
  <w:num w:numId="10" w16cid:durableId="847988491">
    <w:abstractNumId w:val="14"/>
  </w:num>
  <w:num w:numId="11" w16cid:durableId="170489075">
    <w:abstractNumId w:val="15"/>
  </w:num>
  <w:num w:numId="12" w16cid:durableId="619268041">
    <w:abstractNumId w:val="8"/>
  </w:num>
  <w:num w:numId="13" w16cid:durableId="577330393">
    <w:abstractNumId w:val="1"/>
  </w:num>
  <w:num w:numId="14" w16cid:durableId="1761296546">
    <w:abstractNumId w:val="16"/>
  </w:num>
  <w:num w:numId="15" w16cid:durableId="2082435873">
    <w:abstractNumId w:val="12"/>
  </w:num>
  <w:num w:numId="16" w16cid:durableId="2026901914">
    <w:abstractNumId w:val="0"/>
  </w:num>
  <w:num w:numId="17" w16cid:durableId="1076901620">
    <w:abstractNumId w:val="17"/>
  </w:num>
  <w:num w:numId="18" w16cid:durableId="1543178128">
    <w:abstractNumId w:val="10"/>
  </w:num>
  <w:num w:numId="19" w16cid:durableId="1255943115">
    <w:abstractNumId w:val="13"/>
  </w:num>
  <w:num w:numId="20" w16cid:durableId="1389762330">
    <w:abstractNumId w:val="18"/>
  </w:num>
  <w:num w:numId="21" w16cid:durableId="204212183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D0C23BD"/>
    <w:rsid w:val="0000613A"/>
    <w:rsid w:val="00092E12"/>
    <w:rsid w:val="000B459C"/>
    <w:rsid w:val="00213EDF"/>
    <w:rsid w:val="00355EFD"/>
    <w:rsid w:val="003A3A9D"/>
    <w:rsid w:val="004B73E4"/>
    <w:rsid w:val="0054504F"/>
    <w:rsid w:val="005D1057"/>
    <w:rsid w:val="00635EE4"/>
    <w:rsid w:val="006E0604"/>
    <w:rsid w:val="006E0D79"/>
    <w:rsid w:val="006F351C"/>
    <w:rsid w:val="0076493F"/>
    <w:rsid w:val="007827A8"/>
    <w:rsid w:val="008167CD"/>
    <w:rsid w:val="008C1A94"/>
    <w:rsid w:val="00A75DBD"/>
    <w:rsid w:val="00A92E00"/>
    <w:rsid w:val="00AC3A21"/>
    <w:rsid w:val="00AF6A82"/>
    <w:rsid w:val="00B61229"/>
    <w:rsid w:val="00BE587C"/>
    <w:rsid w:val="00D01B88"/>
    <w:rsid w:val="00D2653C"/>
    <w:rsid w:val="00D75711"/>
    <w:rsid w:val="00DB2499"/>
    <w:rsid w:val="00FF7A77"/>
    <w:rsid w:val="02F131CA"/>
    <w:rsid w:val="030EF110"/>
    <w:rsid w:val="0525B24F"/>
    <w:rsid w:val="093EAA0B"/>
    <w:rsid w:val="0B1B3962"/>
    <w:rsid w:val="0D60A6E9"/>
    <w:rsid w:val="0ED2FFCC"/>
    <w:rsid w:val="0F7595D1"/>
    <w:rsid w:val="1212109D"/>
    <w:rsid w:val="14381A4C"/>
    <w:rsid w:val="1742CA2C"/>
    <w:rsid w:val="1A6F4AD8"/>
    <w:rsid w:val="1B331FB4"/>
    <w:rsid w:val="1D0C23BD"/>
    <w:rsid w:val="1E8B04C4"/>
    <w:rsid w:val="21A49710"/>
    <w:rsid w:val="21E13E53"/>
    <w:rsid w:val="24A9E5CB"/>
    <w:rsid w:val="255ABDB6"/>
    <w:rsid w:val="292FEC88"/>
    <w:rsid w:val="2CFEDF17"/>
    <w:rsid w:val="310FA2CC"/>
    <w:rsid w:val="32105C3F"/>
    <w:rsid w:val="333F5122"/>
    <w:rsid w:val="3527669C"/>
    <w:rsid w:val="352BF591"/>
    <w:rsid w:val="3751E3DE"/>
    <w:rsid w:val="37875A34"/>
    <w:rsid w:val="3B8C36BC"/>
    <w:rsid w:val="3F1D7A70"/>
    <w:rsid w:val="4147C82F"/>
    <w:rsid w:val="45727905"/>
    <w:rsid w:val="459B1D2B"/>
    <w:rsid w:val="4633174C"/>
    <w:rsid w:val="467588AF"/>
    <w:rsid w:val="4A0C85CF"/>
    <w:rsid w:val="4DEDFA8D"/>
    <w:rsid w:val="4E003046"/>
    <w:rsid w:val="54C3E1E2"/>
    <w:rsid w:val="54C44BB9"/>
    <w:rsid w:val="55AC7B55"/>
    <w:rsid w:val="55F3DCA2"/>
    <w:rsid w:val="5828AAC8"/>
    <w:rsid w:val="5D8881EE"/>
    <w:rsid w:val="5EECCAC3"/>
    <w:rsid w:val="6129C694"/>
    <w:rsid w:val="65286C4C"/>
    <w:rsid w:val="6858D5DC"/>
    <w:rsid w:val="6B38B000"/>
    <w:rsid w:val="6D9F546E"/>
    <w:rsid w:val="6DC2AC4B"/>
    <w:rsid w:val="6DFFFDB5"/>
    <w:rsid w:val="6E5533BC"/>
    <w:rsid w:val="6FCAB279"/>
    <w:rsid w:val="71266AE9"/>
    <w:rsid w:val="720EA017"/>
    <w:rsid w:val="73AF6A6F"/>
    <w:rsid w:val="74CE6ECB"/>
    <w:rsid w:val="75F2BB01"/>
    <w:rsid w:val="78BB9232"/>
    <w:rsid w:val="7CD3AEB0"/>
    <w:rsid w:val="7E455D19"/>
    <w:rsid w:val="7E7CD5CA"/>
    <w:rsid w:val="7EA5C4BD"/>
    <w:rsid w:val="7ECFA500"/>
    <w:rsid w:val="7FE6BFC9"/>
    <w:rsid w:val="7FFE4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C23BD"/>
  <w15:chartTrackingRefBased/>
  <w15:docId w15:val="{C924C935-857B-4557-99BC-DE26D1751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5EECCAC3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53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9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6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3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8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E91493-85F5-4481-9304-B6BA507560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1309</Words>
  <Characters>7464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Chathananickal Sajeevan</dc:creator>
  <cp:keywords/>
  <dc:description/>
  <cp:lastModifiedBy>Anand Chathananickal Sajeevan</cp:lastModifiedBy>
  <cp:revision>3</cp:revision>
  <dcterms:created xsi:type="dcterms:W3CDTF">2025-01-28T01:37:00Z</dcterms:created>
  <dcterms:modified xsi:type="dcterms:W3CDTF">2025-01-28T02:27:00Z</dcterms:modified>
</cp:coreProperties>
</file>