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Accounts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Recording payments</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Payments</w:t>
      </w:r>
      <w:r>
        <w:rPr>
          <w:b w:val="0"/>
          <w:i w:val="0"/>
          <w:color w:val="3A4A60"/>
          <w:sz w:val="24"/>
        </w:rPr>
        <w:t>. Vouchers the officers have signed are waiting to be paid and recorded.</w:t>
      </w:r>
    </w:p>
    <w:p>
      <w:pPr>
        <w:pStyle w:val="ListNumber"/>
        <w:numPr>
          <w:ilvl w:val="0"/>
          <w:numId w:val="11"/>
        </w:numPr>
        <w:spacing w:after="40"/>
      </w:pPr>
      <w:r>
        <w:rPr>
          <w:b/>
          <w:i w:val="0"/>
          <w:sz w:val="21"/>
        </w:rPr>
        <w:t>Make the payment</w:t>
      </w:r>
      <w:r>
        <w:rPr>
          <w:b w:val="0"/>
          <w:i w:val="0"/>
          <w:sz w:val="21"/>
        </w:rPr>
        <w:t xml:space="preserve"> through the bank as usual.</w:t>
      </w:r>
    </w:p>
    <w:p>
      <w:pPr>
        <w:pStyle w:val="ListNumber"/>
        <w:spacing w:after="40"/>
      </w:pPr>
      <w:r>
        <w:rPr>
          <w:b/>
          <w:i w:val="0"/>
          <w:sz w:val="21"/>
        </w:rPr>
        <w:t>Record it here</w:t>
      </w:r>
      <w:r>
        <w:rPr>
          <w:b w:val="0"/>
          <w:i w:val="0"/>
          <w:sz w:val="21"/>
        </w:rPr>
        <w:t xml:space="preserve"> — the date, the reference, and which account it came from.</w:t>
      </w:r>
    </w:p>
    <w:p>
      <w:pPr>
        <w:pStyle w:val="ListNumber"/>
        <w:spacing w:after="40"/>
      </w:pPr>
      <w:r>
        <w:rPr>
          <w:b/>
          <w:i w:val="0"/>
          <w:sz w:val="21"/>
        </w:rPr>
        <w:t>Attach the receipt</w:t>
      </w:r>
      <w:r>
        <w:rPr>
          <w:b w:val="0"/>
          <w:i w:val="0"/>
          <w:sz w:val="21"/>
        </w:rPr>
        <w:t xml:space="preserve"> from the bank if there is one.</w:t>
      </w:r>
    </w:p>
    <w:p>
      <w:pPr>
        <w:spacing w:after="120" w:line="283" w:lineRule="auto"/>
      </w:pPr>
      <w:r>
        <w:rPr>
          <w:b w:val="0"/>
          <w:i w:val="0"/>
          <w:sz w:val="21"/>
        </w:rPr>
        <w:t xml:space="preserve">The reference series for each account is kept under </w:t>
      </w:r>
      <w:r>
        <w:rPr>
          <w:b/>
          <w:i w:val="0"/>
          <w:sz w:val="21"/>
        </w:rPr>
        <w:t>Administration</w:t>
      </w:r>
      <w:r>
        <w:rPr>
          <w:b w:val="0"/>
          <w:i w:val="0"/>
          <w:sz w:val="21"/>
        </w:rPr>
        <w:t xml:space="preserve"> → </w:t>
      </w:r>
      <w:r>
        <w:rPr>
          <w:b/>
          <w:i w:val="0"/>
          <w:sz w:val="21"/>
        </w:rPr>
        <w:t>Payment References</w:t>
      </w:r>
      <w:r>
        <w:rPr>
          <w:b w:val="0"/>
          <w:i w:val="0"/>
          <w:sz w:val="21"/>
        </w:rPr>
        <w:t>: the prefix, how many digits, and where the numbering has reached.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record payments; you do not decide them.</w:t>
            </w:r>
            <w:r>
              <w:rPr>
                <w:b w:val="0"/>
                <w:i w:val="0"/>
                <w:sz w:val="20"/>
              </w:rPr>
              <w:t xml:space="preserve"> Reviewing and approving vouchers belongs to the Finance Executive and to the officers who sign, and the app hides those controls from you rather than letting you press something that will be refused. It is a division of duty, not a comment on you.</w:t>
            </w:r>
          </w:p>
        </w:tc>
      </w:tr>
    </w:tbl>
    <w:p>
      <w:pPr>
        <w:spacing w:after="80"/>
      </w:pPr>
    </w:p>
    <w:p>
      <w:pPr>
        <w:pStyle w:val="Heading2"/>
        <w:spacing w:before="240" w:after="120"/>
        <w:keepNext/>
      </w:pPr>
      <w:r>
        <w:rPr>
          <w:rFonts w:ascii="Segoe UI Semibold" w:hAnsi="Segoe UI Semibold"/>
          <w:color w:val="1C2738"/>
          <w:sz w:val="25"/>
        </w:rPr>
        <w:t>Payroll</w:t>
      </w:r>
    </w:p>
    <w:p>
      <w:pPr>
        <w:spacing w:after="120" w:line="283" w:lineRule="auto"/>
      </w:pPr>
      <w:r>
        <w:rPr>
          <w:b/>
          <w:i w:val="0"/>
          <w:sz w:val="21"/>
        </w:rPr>
        <w:t>Payroll</w:t>
      </w:r>
      <w:r>
        <w:rPr>
          <w:b w:val="0"/>
          <w:i w:val="0"/>
          <w:sz w:val="21"/>
        </w:rPr>
        <w:t xml:space="preserve"> → </w:t>
      </w:r>
      <w:r>
        <w:rPr>
          <w:b/>
          <w:i w:val="0"/>
          <w:sz w:val="21"/>
        </w:rPr>
        <w:t>Payroll Runs</w:t>
      </w:r>
      <w:r>
        <w:rPr>
          <w:b w:val="0"/>
          <w:i w:val="0"/>
          <w:sz w:val="21"/>
        </w:rPr>
        <w:t>: build the month, check it, confirm it, and generate the vouchers that pay it. Payroll figures are confidential — they are visible to you because the work needs them, and to very few others.</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recording payments, keeping the reference series, and payroll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