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the Building &amp; Event Manager</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Building and event vouchers</w:t>
      </w:r>
    </w:p>
    <w:p>
      <w:pPr>
        <w:spacing w:after="200" w:line="283" w:lineRule="auto"/>
      </w:pPr>
      <w:r>
        <w:rPr>
          <w:b w:val="0"/>
          <w:i w:val="0"/>
          <w:color w:val="3A4A60"/>
          <w:sz w:val="24"/>
        </w:rPr>
        <w:t xml:space="preserve">The property side has its own entries, under </w:t>
      </w:r>
      <w:r>
        <w:rPr>
          <w:b/>
          <w:i w:val="0"/>
          <w:color w:val="3A4A60"/>
          <w:sz w:val="24"/>
        </w:rPr>
        <w:t>Building &amp; Events</w:t>
      </w:r>
      <w:r>
        <w:rPr>
          <w:b w:val="0"/>
          <w:i w:val="0"/>
          <w:color w:val="3A4A60"/>
          <w:sz w:val="24"/>
        </w:rPr>
        <w:t xml:space="preserve"> in the left-hand list.</w:t>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spacing w:after="80"/>
      </w:pPr>
    </w:p>
    <w:p>
      <w:pPr>
        <w:spacing w:after="120" w:line="283" w:lineRule="auto"/>
      </w:pPr>
      <w:r>
        <w:rPr>
          <w:b w:val="0"/>
          <w:i w:val="0"/>
          <w:sz w:val="21"/>
        </w:rPr>
        <w:t>A BAM voucher goes to the BAM Committee rather than to a ministry EXCO, and then follows the same path as any other: Finance, the General Manager, the signing officers.</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1"/>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3" name="Picture 3"/>
            <wp:cNvGraphicFramePr>
              <a:graphicFrameLocks noChangeAspect="1"/>
            </wp:cNvGraphicFramePr>
            <a:graphic>
              <a:graphicData uri="http://schemas.openxmlformats.org/drawingml/2006/picture">
                <pic:pic>
                  <pic:nvPicPr>
                    <pic:cNvPr id="0" name="fig03-03-request-desktop.png"/>
                    <pic:cNvPicPr/>
                  </pic:nvPicPr>
                  <pic:blipFill>
                    <a:blip r:embed="rId11"/>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2"/>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4" name="Picture 4"/>
            <wp:cNvGraphicFramePr>
              <a:graphicFrameLocks noChangeAspect="1"/>
            </wp:cNvGraphicFramePr>
            <a:graphic>
              <a:graphicData uri="http://schemas.openxmlformats.org/drawingml/2006/picture">
                <pic:pic>
                  <pic:nvPicPr>
                    <pic:cNvPr id="0" name="fig04-05-my-leave.png"/>
                    <pic:cNvPicPr/>
                  </pic:nvPicPr>
                  <pic:blipFill>
                    <a:blip r:embed="rId12"/>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building and event vouchers, worksheets, bookings and facility income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