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Signing Officer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asks for the same two things, because that is the meeting’s decision as well. It unlocks the budget so the ministry can revise it before the next meeting, and your reason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pStyle w:val="Heading2"/>
        <w:spacing w:before="240" w:after="120"/>
        <w:keepNext/>
      </w:pPr>
      <w:r>
        <w:rPr>
          <w:rFonts w:ascii="Segoe UI Semibold" w:hAnsi="Segoe UI Semibold"/>
          <w:color w:val="1C2738"/>
          <w:sz w:val="25"/>
        </w:rPr>
        <w:t>Changes asked for during the year</w:t>
      </w:r>
    </w:p>
    <w:p>
      <w:pPr>
        <w:spacing w:after="120" w:line="283" w:lineRule="auto"/>
      </w:pPr>
      <w:r>
        <w:rPr>
          <w:b w:val="0"/>
          <w:i w:val="0"/>
          <w:sz w:val="21"/>
        </w:rPr>
        <w:t>Once a budget is live a ministry cannot edit it, so a change arrives as a request saying what is being changed and why. These you may decide yourself — you, the Bishop, the Secretary, the General Manager and the Finance Executive — without waiting for a meeting. Approving one applies it to the budget there and then.</w:t>
      </w:r>
    </w:p>
    <w:p>
      <w:pPr>
        <w:spacing w:after="120" w:line="283" w:lineRule="auto"/>
      </w:pPr>
      <w:r>
        <w:rPr>
          <w:b w:val="0"/>
          <w:i w:val="0"/>
          <w:sz w:val="21"/>
        </w:rPr>
        <w:t>Until it is decided, the ministry’s page keeps showing the figures that were actually agreed.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