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w:t>
      </w:r>
    </w:p>
    <w:p>
      <w:pPr>
        <w:spacing w:after="160" w:line="283" w:lineRule="auto"/>
      </w:pPr>
      <w:r>
        <w:rPr>
          <w:rFonts w:ascii="Segoe UI Semibold" w:hAnsi="Segoe UI Semibold"/>
          <w:b/>
          <w:i w:val="0"/>
          <w:color w:val="1C2738"/>
          <w:sz w:val="52"/>
        </w:rPr>
        <w:t>For the General Manager</w:t>
      </w:r>
    </w:p>
    <w:p>
      <w:pPr>
        <w:spacing w:after="320" w:line="283" w:lineRule="auto"/>
      </w:pPr>
      <w:r>
        <w:rPr>
          <w:b w:val="0"/>
          <w:i w:val="0"/>
          <w:color w:val="3A4A60"/>
          <w:sz w:val="23"/>
        </w:rPr>
        <w:t>Every payment passes you after Finance has reviewed it and before the signing officers see it, and every staff leave application starts with you.</w:t>
      </w:r>
    </w:p>
    <w:p>
      <w:pPr>
        <w:spacing w:after="80" w:line="283" w:lineRule="auto"/>
      </w:pPr>
      <w:r>
        <w:rPr>
          <w:b/>
          <w:i w:val="0"/>
          <w:color w:val="2F5B9C"/>
          <w:sz w:val="26"/>
        </w:rPr>
        <w:t>Contents</w:t>
      </w:r>
    </w:p>
    <w:p>
      <w:r/>
      <w:fldSimple w:instr="TOC \o &quot;1-2&quot; \h \z \u">
        <w:r>
          <w:t>Right-click here and choose Update Field to build the contents.</w:t>
        </w:r>
      </w:fldSimple>
    </w:p>
    <w:p>
      <w:r>
        <w:br w:type="page"/>
      </w:r>
    </w:p>
    <w:p>
      <w:pPr>
        <w:pStyle w:val="Heading1"/>
        <w:spacing w:before="80" w:after="120"/>
      </w:pPr>
      <w:r>
        <w:rPr>
          <w:rFonts w:ascii="Segoe UI Semibold" w:hAnsi="Segoe UI Semibold"/>
          <w:color w:val="2F5B9C"/>
          <w:sz w:val="34"/>
        </w:rPr>
        <w:t>Getting in</w:t>
      </w:r>
    </w:p>
    <w:p>
      <w:pPr>
        <w:spacing w:after="200" w:line="283" w:lineRule="auto"/>
      </w:pPr>
      <w:r>
        <w:rPr>
          <w:b w:val="0"/>
          <w:i w:val="0"/>
          <w:color w:val="3A4A60"/>
          <w:sz w:val="24"/>
        </w:rPr>
        <w:t>The app lives at one address. There is no password to remember and none to lose — you sign in either with your church Google account, or with a link emailed to you.</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74903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749039"/>
                    </a:xfrm>
                    <a:prstGeom prst="rect"/>
                  </pic:spPr>
                </pic:pic>
              </a:graphicData>
            </a:graphic>
          </wp:inline>
        </w:drawing>
      </w:r>
    </w:p>
    <w:p>
      <w:pPr>
        <w:spacing w:after="200" w:line="283" w:lineRule="auto"/>
        <w:jc w:val="center"/>
      </w:pPr>
      <w:r>
        <w:rPr>
          <w:b w:val="0"/>
          <w:i/>
          <w:color w:val="6B7280"/>
          <w:sz w:val="18"/>
        </w:rPr>
        <w:t xml:space="preserve">The sign-in screen. Which button is yours depends only on whether the church has given you an </w:t>
      </w:r>
      <w:r>
        <w:rPr>
          <w:b/>
          <w:i/>
          <w:color w:val="6B7280"/>
          <w:sz w:val="18"/>
        </w:rPr>
        <w:t>@lcm.org.my</w:t>
      </w:r>
      <w:r>
        <w:rPr>
          <w:b w:val="0"/>
          <w:i/>
          <w:color w:val="6B7280"/>
          <w:sz w:val="18"/>
        </w:rPr>
        <w:t xml:space="preserve"> mailbox.</w:t>
      </w:r>
    </w:p>
    <w:p>
      <w:pPr>
        <w:spacing w:after="100"/>
        <w:ind w:left="510" w:hanging="510"/>
      </w:pPr>
      <w:r>
        <w:rPr>
          <w:b/>
          <w:color w:val="C2410C"/>
          <w:sz w:val="21"/>
        </w:rPr>
        <w:t xml:space="preserve">1   </w:t>
      </w:r>
      <w:r>
        <w:rPr>
          <w:b/>
          <w:i w:val="0"/>
          <w:sz w:val="21"/>
        </w:rPr>
        <w:t>Sign in with Google</w:t>
      </w:r>
      <w:r>
        <w:rPr>
          <w:b w:val="0"/>
          <w:i w:val="0"/>
          <w:sz w:val="21"/>
        </w:rPr>
        <w:t xml:space="preserve"> — if you have an </w:t>
      </w:r>
      <w:r>
        <w:rPr>
          <w:b/>
          <w:i w:val="0"/>
          <w:sz w:val="21"/>
        </w:rPr>
        <w:t>@lcm.org.my</w:t>
      </w:r>
      <w:r>
        <w:rPr>
          <w:b w:val="0"/>
          <w:i w:val="0"/>
          <w:sz w:val="21"/>
        </w:rPr>
        <w:t xml:space="preserve"> address. One tap, the same as opening your church email. Nothing to type.</w:t>
      </w:r>
    </w:p>
    <w:p>
      <w:pPr>
        <w:spacing w:after="100"/>
        <w:ind w:left="510" w:hanging="510"/>
      </w:pPr>
      <w:r>
        <w:rPr>
          <w:b/>
          <w:color w:val="C2410C"/>
          <w:sz w:val="21"/>
        </w:rPr>
        <w:t xml:space="preserve">2   </w:t>
      </w:r>
      <w:r>
        <w:rPr>
          <w:b/>
          <w:i w:val="0"/>
          <w:sz w:val="21"/>
        </w:rPr>
        <w:t>Sign in with email link</w:t>
      </w:r>
      <w:r>
        <w:rPr>
          <w:b w:val="0"/>
          <w:i w:val="0"/>
          <w:sz w:val="21"/>
        </w:rPr>
        <w:t xml:space="preserve"> — if you do not. Type the address the church holds for you, and a link arrives in your inbox. Click it and you are in. The link is yours alone and stops working once used, so do not forward it.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Nothing arrives?</w:t>
            </w:r>
            <w:r>
              <w:rPr>
                <w:b w:val="0"/>
                <w:i w:val="0"/>
                <w:sz w:val="20"/>
              </w:rPr>
              <w:t xml:space="preserve"> Check that the address the church has for you can actually receive email. A mailbox that was never really set up is the usual reason a link never comes — ask the HQ office to correct it, rather than asking for the link again.</w:t>
            </w:r>
          </w:p>
        </w:tc>
      </w:tr>
    </w:tbl>
    <w:p>
      <w:pPr>
        <w:spacing w:after="80"/>
      </w:pPr>
    </w:p>
    <w:p>
      <w:pPr>
        <w:pStyle w:val="Heading2"/>
        <w:spacing w:before="240" w:after="120"/>
      </w:pPr>
      <w:r>
        <w:rPr>
          <w:rFonts w:ascii="Segoe UI Semibold" w:hAnsi="Segoe UI Semibold"/>
          <w:color w:val="1C2738"/>
          <w:sz w:val="25"/>
        </w:rPr>
        <w:t>The first time</w:t>
      </w:r>
    </w:p>
    <w:p>
      <w:pPr>
        <w:spacing w:after="120" w:line="283" w:lineRule="auto"/>
      </w:pPr>
      <w:r>
        <w:rPr>
          <w:b w:val="0"/>
          <w:i w:val="0"/>
          <w:sz w:val="21"/>
        </w:rPr>
        <w:t xml:space="preserve">You do not create an account and you do not wait for one. Sign in, and the system records your address as a </w:t>
      </w:r>
      <w:r>
        <w:rPr>
          <w:b/>
          <w:i w:val="0"/>
          <w:sz w:val="21"/>
        </w:rPr>
        <w:t>Guest</w:t>
      </w:r>
      <w:r>
        <w:rPr>
          <w:b w:val="0"/>
          <w:i w:val="0"/>
          <w:sz w:val="21"/>
        </w:rPr>
        <w:t xml:space="preserve"> — enough to claim money back and to read the church directory. Your proper role is set by the HQ office, usually the same day. If the app looks emptier than this guide describes, that is why: ask them to set your role, then sign in again.</w:t>
      </w:r>
    </w:p>
    <w:p>
      <w:r>
        <w:br w:type="page"/>
      </w:r>
    </w:p>
    <w:p>
      <w:pPr>
        <w:pStyle w:val="Heading1"/>
        <w:spacing w:before="80" w:after="120"/>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700000" cy="6364285"/>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700000" cy="6364285"/>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r>
        <w:br w:type="page"/>
      </w:r>
    </w:p>
    <w:p>
      <w:pPr>
        <w:pStyle w:val="Heading1"/>
        <w:spacing w:before="80" w:after="120"/>
      </w:pPr>
      <w:r>
        <w:rPr>
          <w:rFonts w:ascii="Segoe UI Semibold" w:hAnsi="Segoe UI Semibold"/>
          <w:color w:val="2F5B9C"/>
          <w:sz w:val="34"/>
        </w:rPr>
        <w:t>Approving a payment</w:t>
      </w:r>
    </w:p>
    <w:p>
      <w:pPr>
        <w:spacing w:after="200" w:line="283" w:lineRule="auto"/>
      </w:pPr>
      <w:r>
        <w:rPr>
          <w:b w:val="0"/>
          <w:i w:val="0"/>
          <w:color w:val="3A4A60"/>
          <w:sz w:val="24"/>
        </w:rPr>
        <w:t xml:space="preserve">Open </w:t>
      </w:r>
      <w:r>
        <w:rPr>
          <w:b/>
          <w:i w:val="0"/>
          <w:color w:val="3A4A60"/>
          <w:sz w:val="24"/>
        </w:rPr>
        <w:t>Approve Vouchers</w:t>
      </w:r>
      <w:r>
        <w:rPr>
          <w:b w:val="0"/>
          <w:i w:val="0"/>
          <w:color w:val="3A4A60"/>
          <w:sz w:val="24"/>
        </w:rPr>
        <w:t xml:space="preserve">. The first tab, </w:t>
      </w:r>
      <w:r>
        <w:rPr>
          <w:b/>
          <w:i w:val="0"/>
          <w:color w:val="3A4A60"/>
          <w:sz w:val="24"/>
        </w:rPr>
        <w:t>Needs your approval</w:t>
      </w:r>
      <w:r>
        <w:rPr>
          <w:b w:val="0"/>
          <w:i w:val="0"/>
          <w:color w:val="3A4A60"/>
          <w:sz w:val="24"/>
        </w:rPr>
        <w:t>, is what the ministry has verified and Finance has reviewed, now waiting on you.</w:t>
      </w:r>
    </w:p>
    <w:p>
      <w:pPr>
        <w:pStyle w:val="ListNumber"/>
        <w:spacing w:after="40"/>
      </w:pPr>
      <w:r>
        <w:rPr>
          <w:b/>
          <w:i w:val="0"/>
          <w:sz w:val="21"/>
        </w:rPr>
        <w:t>Read what it is for</w:t>
      </w:r>
      <w:r>
        <w:rPr>
          <w:b w:val="0"/>
          <w:i w:val="0"/>
          <w:sz w:val="21"/>
        </w:rPr>
        <w:t>, and open the receipts if the purpose does not settle it.</w:t>
      </w:r>
    </w:p>
    <w:p>
      <w:pPr>
        <w:pStyle w:val="ListNumber"/>
        <w:spacing w:after="40"/>
      </w:pPr>
      <w:r>
        <w:rPr>
          <w:b/>
          <w:i w:val="0"/>
          <w:sz w:val="21"/>
        </w:rPr>
        <w:t>Check the budget line.</w:t>
      </w:r>
      <w:r>
        <w:rPr>
          <w:b w:val="0"/>
          <w:i w:val="0"/>
          <w:sz w:val="21"/>
        </w:rPr>
        <w:t xml:space="preserve"> Tap the budget chip to see the line it comes out of, what remains on it, and what would be left after this payment.</w:t>
      </w:r>
    </w:p>
    <w:p>
      <w:pPr>
        <w:pStyle w:val="ListNumber"/>
        <w:spacing w:after="40"/>
      </w:pPr>
      <w:r>
        <w:rPr>
          <w:b/>
          <w:i w:val="0"/>
          <w:sz w:val="21"/>
        </w:rPr>
        <w:t>Approve, and it goes to the signing officers.</w:t>
      </w:r>
      <w:r>
        <w:rPr>
          <w:b w:val="0"/>
          <w:i w:val="0"/>
          <w:sz w:val="21"/>
        </w:rPr>
        <w:t xml:space="preserve"> Reject, and it goes back with your reason.</w:t>
      </w:r>
    </w:p>
    <w:p>
      <w:pPr>
        <w:spacing w:after="120" w:line="283" w:lineRule="auto"/>
      </w:pPr>
      <w:r>
        <w:rPr>
          <w:b w:val="0"/>
          <w:i w:val="0"/>
          <w:sz w:val="21"/>
        </w:rPr>
        <w:t xml:space="preserve">The second tab, </w:t>
      </w:r>
      <w:r>
        <w:rPr>
          <w:b/>
          <w:i w:val="0"/>
          <w:sz w:val="21"/>
        </w:rPr>
        <w:t>With the signatories</w:t>
      </w:r>
      <w:r>
        <w:rPr>
          <w:b w:val="0"/>
          <w:i w:val="0"/>
          <w:sz w:val="21"/>
        </w:rPr>
        <w:t>, is what you have already approved and which is now waiting on the Bishop, Treasurer or Secretary. It is there so you can answer “where is my claim?” without asking anybody.</w:t>
      </w:r>
    </w:p>
    <w:p>
      <w:pPr>
        <w:pStyle w:val="Heading2"/>
        <w:spacing w:before="240" w:after="120"/>
      </w:pPr>
      <w:r>
        <w:rPr>
          <w:rFonts w:ascii="Segoe UI Semibold" w:hAnsi="Segoe UI Semibold"/>
          <w:color w:val="1C2738"/>
          <w:sz w:val="25"/>
        </w:rPr>
        <w:t>Claims brought to you directly</w:t>
      </w:r>
    </w:p>
    <w:p>
      <w:pPr>
        <w:spacing w:after="120" w:line="283" w:lineRule="auto"/>
      </w:pPr>
      <w:r>
        <w:rPr>
          <w:b w:val="0"/>
          <w:i w:val="0"/>
          <w:sz w:val="21"/>
        </w:rPr>
        <w:t xml:space="preserve">When somebody brings you a claim outside the system — a letter, a conversation, an invoice handed over — record it under </w:t>
      </w:r>
      <w:r>
        <w:rPr>
          <w:b/>
          <w:i w:val="0"/>
          <w:sz w:val="21"/>
        </w:rPr>
        <w:t>Approvals</w:t>
      </w:r>
      <w:r>
        <w:rPr>
          <w:b w:val="0"/>
          <w:i w:val="0"/>
          <w:sz w:val="21"/>
        </w:rPr>
        <w:t xml:space="preserve"> → </w:t>
      </w:r>
      <w:r>
        <w:rPr>
          <w:b/>
          <w:i w:val="0"/>
          <w:sz w:val="21"/>
        </w:rPr>
        <w:t>GM Claims</w:t>
      </w:r>
      <w:r>
        <w:rPr>
          <w:b w:val="0"/>
          <w:i w:val="0"/>
          <w:sz w:val="21"/>
        </w:rPr>
        <w:t>. Finance picks it up from there and raises the voucher, and the trail starts from your instruction rather than from nothing.</w:t>
      </w:r>
    </w:p>
    <w:p>
      <w:r>
        <w:br w:type="page"/>
      </w:r>
    </w:p>
    <w:p>
      <w:pPr>
        <w:pStyle w:val="Heading1"/>
        <w:spacing w:before="80" w:after="120"/>
      </w:pPr>
      <w:r>
        <w:rPr>
          <w:rFonts w:ascii="Segoe UI Semibold" w:hAnsi="Segoe UI Semibold"/>
          <w:color w:val="2F5B9C"/>
          <w:sz w:val="34"/>
        </w:rPr>
        <w:t>Approving leave</w:t>
      </w:r>
    </w:p>
    <w:p>
      <w:pPr>
        <w:spacing w:after="200" w:line="283" w:lineRule="auto"/>
      </w:pPr>
      <w:r>
        <w:rPr>
          <w:b w:val="0"/>
          <w:i w:val="0"/>
          <w:color w:val="3A4A60"/>
          <w:sz w:val="24"/>
        </w:rPr>
        <w:t xml:space="preserve">Open </w:t>
      </w:r>
      <w:r>
        <w:rPr>
          <w:b/>
          <w:i w:val="0"/>
          <w:color w:val="3A4A60"/>
          <w:sz w:val="24"/>
        </w:rPr>
        <w:t>Approve Leave</w:t>
      </w:r>
      <w:r>
        <w:rPr>
          <w:b w:val="0"/>
          <w:i w:val="0"/>
          <w:color w:val="3A4A60"/>
          <w:sz w:val="24"/>
        </w:rPr>
        <w:t>, at the top of the left-hand list. What is waiting on you is at the top; what is waiting on somebody else is below it, so you can see where an application has got to without it being your turn.</w:t>
      </w:r>
    </w:p>
    <w:p>
      <w:pPr>
        <w:spacing w:before="160" w:after="40"/>
        <w:jc w:val="center"/>
      </w:pPr>
      <w:r>
        <w:drawing>
          <wp:inline xmlns:a="http://schemas.openxmlformats.org/drawingml/2006/main" xmlns:pic="http://schemas.openxmlformats.org/drawingml/2006/picture">
            <wp:extent cx="5903999" cy="3193079"/>
            <wp:docPr id="3" name="Picture 3"/>
            <wp:cNvGraphicFramePr>
              <a:graphicFrameLocks noChangeAspect="1"/>
            </wp:cNvGraphicFramePr>
            <a:graphic>
              <a:graphicData uri="http://schemas.openxmlformats.org/drawingml/2006/picture">
                <pic:pic>
                  <pic:nvPicPr>
                    <pic:cNvPr id="0" name="fig03-07-leave-queue.png"/>
                    <pic:cNvPicPr/>
                  </pic:nvPicPr>
                  <pic:blipFill>
                    <a:blip r:embed="rId11"/>
                    <a:stretch>
                      <a:fillRect/>
                    </a:stretch>
                  </pic:blipFill>
                  <pic:spPr>
                    <a:xfrm>
                      <a:off x="0" y="0"/>
                      <a:ext cx="5903999" cy="3193079"/>
                    </a:xfrm>
                    <a:prstGeom prst="rect"/>
                  </pic:spPr>
                </pic:pic>
              </a:graphicData>
            </a:graphic>
          </wp:inline>
        </w:drawing>
      </w:r>
    </w:p>
    <w:p>
      <w:pPr>
        <w:spacing w:after="200" w:line="283" w:lineRule="auto"/>
        <w:jc w:val="center"/>
      </w:pPr>
      <w:r>
        <w:rPr>
          <w:b w:val="0"/>
          <w:i/>
          <w:color w:val="6B7280"/>
          <w:sz w:val="18"/>
        </w:rPr>
        <w:t>The queue an approver sees. Everyone in this picture is invented.</w:t>
      </w:r>
    </w:p>
    <w:p>
      <w:pPr>
        <w:pStyle w:val="ListNumber"/>
        <w:spacing w:after="40"/>
      </w:pPr>
      <w:r>
        <w:rPr>
          <w:b/>
          <w:i w:val="0"/>
          <w:sz w:val="21"/>
        </w:rPr>
        <w:t>Open the application.</w:t>
      </w:r>
      <w:r>
        <w:rPr>
          <w:b w:val="0"/>
          <w:i w:val="0"/>
          <w:sz w:val="21"/>
        </w:rPr>
        <w:t xml:space="preserve"> It shows the dates, the reason, the balance the person had when they applied, and the chain of who must sign.</w:t>
      </w:r>
    </w:p>
    <w:p>
      <w:pPr>
        <w:pStyle w:val="ListNumber"/>
        <w:spacing w:after="40"/>
      </w:pPr>
      <w:r>
        <w:rPr>
          <w:b/>
          <w:i w:val="0"/>
          <w:sz w:val="21"/>
        </w:rPr>
        <w:t>Sign it</w:t>
      </w:r>
      <w:r>
        <w:rPr>
          <w:b w:val="0"/>
          <w:i w:val="0"/>
          <w:sz w:val="21"/>
        </w:rPr>
        <w:t xml:space="preserve"> — with your finger or your mouse — or reject it with a reason.</w:t>
      </w:r>
    </w:p>
    <w:p>
      <w:pPr>
        <w:pStyle w:val="Heading2"/>
        <w:spacing w:before="240" w:after="120"/>
      </w:pPr>
      <w:r>
        <w:rPr>
          <w:rFonts w:ascii="Segoe UI Semibold" w:hAnsi="Segoe UI Semibold"/>
          <w:color w:val="1C2738"/>
          <w:sz w:val="25"/>
        </w:rPr>
        <w:t>The order matters</w:t>
      </w:r>
    </w:p>
    <w:p>
      <w:pPr>
        <w:spacing w:after="120" w:line="283" w:lineRule="auto"/>
      </w:pPr>
      <w:r>
        <w:rPr>
          <w:b w:val="0"/>
          <w:i w:val="0"/>
          <w:sz w:val="21"/>
        </w:rPr>
        <w:t>Leave is signed in order, not all at once. Office staff go to the General Manager first and then to the Bishop; a pastor goes to their Pastor in Charge and then the Dean; a head pastor to the Dean and then the Bishop; a Dean to the Bishop alone.</w:t>
      </w:r>
    </w:p>
    <w:p>
      <w:pPr>
        <w:spacing w:after="120" w:line="283" w:lineRule="auto"/>
      </w:pPr>
      <w:r>
        <w:rPr>
          <w:b w:val="0"/>
          <w:i w:val="0"/>
          <w:sz w:val="21"/>
        </w:rPr>
        <w:t>If it is not your turn yet the application will say so and the buttons will not be there. Nothing is lost — you will be emailed when it reaches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Nobody approves their own leave</w:t>
            </w:r>
            <w:r>
              <w:rPr>
                <w:b w:val="0"/>
                <w:i w:val="0"/>
                <w:sz w:val="20"/>
              </w:rPr>
              <w:t>, whatever office they hold. The chain skips you and goes to the person above.</w:t>
            </w:r>
          </w:p>
        </w:tc>
      </w:tr>
    </w:tbl>
    <w:p>
      <w:pPr>
        <w:spacing w:after="80"/>
      </w:pPr>
    </w:p>
    <w:p>
      <w:r>
        <w:br w:type="page"/>
      </w:r>
    </w:p>
    <w:p>
      <w:pPr>
        <w:pStyle w:val="Heading1"/>
        <w:spacing w:before="80" w:after="120"/>
      </w:pPr>
      <w:r>
        <w:rPr>
          <w:rFonts w:ascii="Segoe UI Semibold" w:hAnsi="Segoe UI Semibold"/>
          <w:color w:val="2F5B9C"/>
          <w:sz w:val="34"/>
        </w:rPr>
        <w:t>The budget</w:t>
      </w:r>
    </w:p>
    <w:p>
      <w:pPr>
        <w:spacing w:after="200" w:line="283" w:lineRule="auto"/>
      </w:pPr>
      <w:r>
        <w:rPr>
          <w:b w:val="0"/>
          <w:i w:val="0"/>
          <w:color w:val="3A4A60"/>
          <w:sz w:val="24"/>
        </w:rPr>
        <w:t xml:space="preserve">Open </w:t>
      </w:r>
      <w:r>
        <w:rPr>
          <w:b/>
          <w:i w:val="0"/>
          <w:color w:val="3A4A60"/>
          <w:sz w:val="24"/>
        </w:rPr>
        <w:t>Budget</w:t>
      </w:r>
      <w:r>
        <w:rPr>
          <w:b w:val="0"/>
          <w:i w:val="0"/>
          <w:color w:val="3A4A60"/>
          <w:sz w:val="24"/>
        </w:rPr>
        <w:t>. You see the ministries you are entitled to see — your own, or all of them.</w:t>
      </w:r>
    </w:p>
    <w:p>
      <w:pPr>
        <w:spacing w:after="120" w:line="283" w:lineRule="auto"/>
      </w:pPr>
      <w:r>
        <w:rPr>
          <w:b w:val="0"/>
          <w:i w:val="0"/>
          <w:sz w:val="21"/>
        </w:rPr>
        <w:t>Each ministry’s budget is a list of lines, one per project or activity. For each line: what was approved, what has been spent, what is committed but not yet paid, and what is left. The colour is a quick read — green has room, amber is close, red is over.</w:t>
      </w:r>
    </w:p>
    <w:p>
      <w:pPr>
        <w:spacing w:before="160" w:after="40"/>
        <w:jc w:val="center"/>
      </w:pPr>
      <w:r>
        <w:drawing>
          <wp:inline xmlns:a="http://schemas.openxmlformats.org/drawingml/2006/main" xmlns:pic="http://schemas.openxmlformats.org/drawingml/2006/picture">
            <wp:extent cx="5903999" cy="3473519"/>
            <wp:docPr id="4" name="Picture 4"/>
            <wp:cNvGraphicFramePr>
              <a:graphicFrameLocks noChangeAspect="1"/>
            </wp:cNvGraphicFramePr>
            <a:graphic>
              <a:graphicData uri="http://schemas.openxmlformats.org/drawingml/2006/picture">
                <pic:pic>
                  <pic:nvPicPr>
                    <pic:cNvPr id="0" name="fig04-12-budget.png"/>
                    <pic:cNvPicPr/>
                  </pic:nvPicPr>
                  <pic:blipFill>
                    <a:blip r:embed="rId12"/>
                    <a:stretch>
                      <a:fillRect/>
                    </a:stretch>
                  </pic:blipFill>
                  <pic:spPr>
                    <a:xfrm>
                      <a:off x="0" y="0"/>
                      <a:ext cx="5903999" cy="3473519"/>
                    </a:xfrm>
                    <a:prstGeom prst="rect"/>
                  </pic:spPr>
                </pic:pic>
              </a:graphicData>
            </a:graphic>
          </wp:inline>
        </w:drawing>
      </w:r>
    </w:p>
    <w:p>
      <w:pPr>
        <w:spacing w:after="200" w:line="283" w:lineRule="auto"/>
        <w:jc w:val="center"/>
      </w:pPr>
      <w:r>
        <w:rPr>
          <w:b w:val="0"/>
          <w:i/>
          <w:color w:val="6B7280"/>
          <w:sz w:val="18"/>
        </w:rPr>
        <w:t xml:space="preserve">One row per project. </w:t>
      </w:r>
      <w:r>
        <w:rPr>
          <w:b/>
          <w:i/>
          <w:color w:val="6B7280"/>
          <w:sz w:val="18"/>
        </w:rPr>
        <w:t>Balance</w:t>
      </w:r>
      <w:r>
        <w:rPr>
          <w:b w:val="0"/>
          <w:i/>
          <w:color w:val="6B7280"/>
          <w:sz w:val="18"/>
        </w:rPr>
        <w:t xml:space="preserve"> ignores what is committed; </w:t>
      </w:r>
      <w:r>
        <w:rPr>
          <w:b/>
          <w:i/>
          <w:color w:val="6B7280"/>
          <w:sz w:val="18"/>
        </w:rPr>
        <w:t>Available</w:t>
      </w:r>
      <w:r>
        <w:rPr>
          <w:b w:val="0"/>
          <w:i/>
          <w:color w:val="6B7280"/>
          <w:sz w:val="18"/>
        </w:rPr>
        <w:t xml:space="preserve"> subtracts it, which is the figure to use when deciding whether there is room for something new. Church planting here has RM1,250 left on paper and is RM550 short once the voucher already in the chain is counted. Every figure in this picture is invented.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 voucher is tied to a budget line by its project name.</w:t>
            </w:r>
            <w:r>
              <w:rPr>
                <w:b w:val="0"/>
                <w:i w:val="0"/>
                <w:sz w:val="20"/>
              </w:rPr>
              <w:t xml:space="preserve"> That is why the ministry and project on a claim matter: a claim with no project is spending the budget cannot see, and it will show as </w:t>
            </w:r>
            <w:r>
              <w:rPr>
                <w:b/>
                <w:i w:val="0"/>
                <w:sz w:val="20"/>
              </w:rPr>
              <w:t>Unbudgeted</w:t>
            </w:r>
            <w:r>
              <w:rPr>
                <w:b w:val="0"/>
                <w:i w:val="0"/>
                <w:sz w:val="20"/>
              </w:rPr>
              <w:t xml:space="preserve"> wherever it appears.</w:t>
            </w:r>
          </w:p>
        </w:tc>
      </w:tr>
    </w:tbl>
    <w:p>
      <w:pPr>
        <w:spacing w:after="80"/>
      </w:pPr>
    </w:p>
    <w:p>
      <w:r>
        <w:br w:type="page"/>
      </w:r>
    </w:p>
    <w:p>
      <w:pPr>
        <w:pStyle w:val="Heading1"/>
        <w:spacing w:before="80" w:after="120"/>
      </w:pPr>
      <w:r>
        <w:rPr>
          <w:rFonts w:ascii="Segoe UI Semibold" w:hAnsi="Segoe UI Semibold"/>
          <w:color w:val="2F5B9C"/>
          <w:sz w:val="34"/>
        </w:rPr>
        <w:t>Approving a budget</w:t>
      </w:r>
    </w:p>
    <w:p>
      <w:pPr>
        <w:spacing w:after="200" w:line="283" w:lineRule="auto"/>
      </w:pPr>
      <w:r>
        <w:rPr>
          <w:b w:val="0"/>
          <w:i w:val="0"/>
          <w:color w:val="3A4A60"/>
          <w:sz w:val="24"/>
        </w:rPr>
        <w:t>A ministry’s proposed budget, and its requests to amend one during the year, come to the Treasurer.</w:t>
      </w:r>
    </w:p>
    <w:p>
      <w:pPr>
        <w:spacing w:after="120" w:line="283" w:lineRule="auto"/>
      </w:pPr>
      <w:r>
        <w:rPr>
          <w:b w:val="0"/>
          <w:i w:val="0"/>
          <w:sz w:val="21"/>
        </w:rPr>
        <w:t xml:space="preserve">Open </w:t>
      </w:r>
      <w:r>
        <w:rPr>
          <w:b/>
          <w:i w:val="0"/>
          <w:sz w:val="21"/>
        </w:rPr>
        <w:t>Budget</w:t>
      </w:r>
      <w:r>
        <w:rPr>
          <w:b w:val="0"/>
          <w:i w:val="0"/>
          <w:sz w:val="21"/>
        </w:rPr>
        <w:t>. Proposals waiting on a decision are listed at the top, whatever ministry they come from, so you do not have to go looking ministry by ministry.</w:t>
      </w:r>
    </w:p>
    <w:p>
      <w:pPr>
        <w:pStyle w:val="ListNumber"/>
        <w:spacing w:after="40"/>
      </w:pPr>
      <w:r>
        <w:rPr>
          <w:b/>
          <w:i w:val="0"/>
          <w:sz w:val="21"/>
        </w:rPr>
        <w:t>Read the lines and the papers attached to them.</w:t>
      </w:r>
    </w:p>
    <w:p>
      <w:pPr>
        <w:pStyle w:val="ListNumber"/>
        <w:spacing w:after="40"/>
      </w:pPr>
      <w:r>
        <w:rPr>
          <w:b/>
          <w:i w:val="0"/>
          <w:sz w:val="21"/>
        </w:rPr>
        <w:t>Approve the budget</w:t>
      </w:r>
      <w:r>
        <w:rPr>
          <w:b w:val="0"/>
          <w:i w:val="0"/>
          <w:sz w:val="21"/>
        </w:rPr>
        <w:t>, and it becomes the figures everybody else sees; or send it back with a reason, and the ministry revises it.</w:t>
      </w:r>
    </w:p>
    <w:p>
      <w:pPr>
        <w:spacing w:after="120" w:line="283" w:lineRule="auto"/>
      </w:pPr>
      <w:r>
        <w:rPr>
          <w:b w:val="0"/>
          <w:i w:val="0"/>
          <w:sz w:val="21"/>
        </w:rPr>
        <w:t>An amendment asked for mid-year works the same way, and says what is being changed and why. Until you approve it, the ministry’s page keeps showing the figures that were agreed — a request does not quietly become a budget.</w:t>
      </w:r>
    </w:p>
    <w:p>
      <w:r>
        <w:br w:type="page"/>
      </w:r>
    </w:p>
    <w:p>
      <w:pPr>
        <w:pStyle w:val="Heading1"/>
        <w:spacing w:before="80" w:after="120"/>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5" name="Picture 5"/>
            <wp:cNvGraphicFramePr>
              <a:graphicFrameLocks noChangeAspect="1"/>
            </wp:cNvGraphicFramePr>
            <a:graphic>
              <a:graphicData uri="http://schemas.openxmlformats.org/drawingml/2006/picture">
                <pic:pic>
                  <pic:nvPicPr>
                    <pic:cNvPr id="0" name="fig05-03-request-desktop.png"/>
                    <pic:cNvPicPr/>
                  </pic:nvPicPr>
                  <pic:blipFill>
                    <a:blip r:embed="rId13"/>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r>
        <w:br w:type="page"/>
      </w:r>
    </w:p>
    <w:p>
      <w:pPr>
        <w:pStyle w:val="Heading1"/>
        <w:spacing w:before="80" w:after="120"/>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r>
        <w:br w:type="page"/>
      </w:r>
    </w:p>
    <w:p>
      <w:pPr>
        <w:pStyle w:val="Heading1"/>
        <w:spacing w:before="80" w:after="120"/>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6" name="Picture 6"/>
            <wp:cNvGraphicFramePr>
              <a:graphicFrameLocks noChangeAspect="1"/>
            </wp:cNvGraphicFramePr>
            <a:graphic>
              <a:graphicData uri="http://schemas.openxmlformats.org/drawingml/2006/picture">
                <pic:pic>
                  <pic:nvPicPr>
                    <pic:cNvPr id="0" name="fig06-05-my-leave.png"/>
                    <pic:cNvPicPr/>
                  </pic:nvPicPr>
                  <pic:blipFill>
                    <a:blip r:embed="rId14"/>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r>
        <w:br w:type="page"/>
      </w:r>
    </w:p>
    <w:p>
      <w:pPr>
        <w:pStyle w:val="Heading1"/>
        <w:spacing w:before="80" w:after="120"/>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r>
        <w:br w:type="page"/>
      </w:r>
    </w:p>
    <w:p>
      <w:pPr>
        <w:pStyle w:val="Heading1"/>
        <w:spacing w:before="80" w:after="120"/>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Handbook</w:t>
            </w:r>
            <w:r>
              <w:rPr>
                <w:b w:val="0"/>
                <w:i w:val="0"/>
                <w:sz w:val="20"/>
              </w:rPr>
              <w:t xml:space="preserve"> describes everything — every role, every stage, the rules behind the approval limits — and the HQ office can send it to you.</w:t>
            </w:r>
          </w:p>
        </w:tc>
      </w:tr>
    </w:tbl>
    <w:p>
      <w:pPr>
        <w:spacing w:after="80"/>
      </w:pPr>
    </w:p>
    <w:p>
      <w:r>
        <w:br w:type="page"/>
      </w:r>
    </w:p>
    <w:p>
      <w:pPr>
        <w:spacing w:after="120" w:line="283" w:lineRule="auto"/>
      </w:pPr>
      <w:r>
        <w:rPr>
          <w:b w:val="0"/>
          <w:i w:val="0"/>
          <w:color w:val="6B7280"/>
          <w:sz w:val="18"/>
        </w:rPr>
        <w:t xml:space="preserve">Prepared for the Lutheran Church in Malaysia. This guide covers verifying payments, approving leave, and the whole church’s budget — the rest of the system is in the full </w:t>
      </w:r>
      <w:r>
        <w:rPr>
          <w:b/>
          <w:i w:val="0"/>
          <w:color w:val="6B7280"/>
          <w:sz w:val="18"/>
        </w:rPr>
        <w:t>LCM Finance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