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Office Staff</w:t>
      </w:r>
    </w:p>
    <w:p>
      <w:pPr>
        <w:spacing w:after="320" w:line="283" w:lineRule="auto"/>
      </w:pPr>
      <w:r>
        <w:rPr>
          <w:b w:val="0"/>
          <w:i w:val="0"/>
          <w:color w:val="3A4A60"/>
          <w:sz w:val="23"/>
        </w:rPr>
        <w:t>Claiming back what you have paid for, applying for leave, and finding your payslip. Three things, each a few taps.</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claiming money back, applying for leave, and your payslips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