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Admin Executive</w:t>
      </w:r>
    </w:p>
    <w:p>
      <w:pPr>
        <w:spacing w:after="320" w:line="283" w:lineRule="auto"/>
      </w:pPr>
      <w:r>
        <w:rPr>
          <w:b w:val="0"/>
          <w:i w:val="0"/>
          <w:color w:val="3A4A60"/>
          <w:sz w:val="23"/>
        </w:rPr>
        <w:t>You keep the church’s records: who the people are, which congregation they belong to, and who holds which office. None of the money is yours to move, and that is deliberate.</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after="120" w:line="283" w:lineRule="auto"/>
      </w:pPr>
      <w:r>
        <w:rPr>
          <w:b w:val="0"/>
          <w:i w:val="0"/>
          <w:sz w:val="21"/>
        </w:rPr>
        <w:t>Each line shows four figures side by side — approved, spent, committed, remaining — and the remaining one is coloured: green has room, amber is close, red is over.</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