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General Manager</w:t>
      </w:r>
    </w:p>
    <w:p>
      <w:pPr>
        <w:spacing w:after="320" w:line="283" w:lineRule="auto"/>
      </w:pPr>
      <w:r>
        <w:rPr>
          <w:b w:val="0"/>
          <w:i w:val="0"/>
          <w:color w:val="3A4A60"/>
          <w:sz w:val="23"/>
        </w:rPr>
        <w:t>Every payment passes you after Finance has reviewed it and before the signing officers see it, and every staff leave application starts with you.</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r>
        <w:br w:type="page"/>
      </w:r>
    </w:p>
    <w:p>
      <w:pPr>
        <w:pStyle w:val="Heading1"/>
        <w:spacing w:before="80" w:after="120"/>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after="120" w:line="283" w:lineRule="auto"/>
      </w:pPr>
      <w:r>
        <w:rPr>
          <w:b w:val="0"/>
          <w:i w:val="0"/>
          <w:sz w:val="21"/>
        </w:rPr>
        <w:t>Each line shows four figures side by side — approved, spent, committed, remaining — and the remaining one is coloured: green has room, amber is close, red is over.</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