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the Admin Executive</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naming no project, or naming something that is not one of your listed projects, shows as </w:t>
            </w:r>
            <w:r>
              <w:rPr>
                <w:b/>
                <w:i w:val="0"/>
                <w:sz w:val="20"/>
              </w:rPr>
              <w:t>Not in the outline</w:t>
            </w:r>
            <w:r>
              <w:rPr>
                <w:b w:val="0"/>
                <w:i w:val="0"/>
                <w:sz w:val="20"/>
              </w:rPr>
              <w:t xml:space="preserve"> — it still comes out of your ministry’s allocation, and it is still counted, but nobody can see from the budget which part of the year’s work it belongs to.</w:t>
            </w:r>
          </w:p>
          <w:p>
            <w:pPr>
              <w:spacing w:after="60" w:line="276" w:lineRule="auto"/>
            </w:pPr>
            <w:r>
              <w:rPr>
                <w:b w:val="0"/>
                <w:i w:val="0"/>
                <w:sz w:val="20"/>
              </w:rPr>
              <w:t xml:space="preserve">The EXCO votes your ministry an allocation and agrees in general terms what it is for. It does not approve each project, so your lines are an outline: they may add up to less than the allocation, and the remainder stays available for what was too early to plan. Changing the </w:t>
            </w:r>
            <w:r>
              <w:rPr>
                <w:b/>
                <w:i w:val="0"/>
                <w:sz w:val="20"/>
              </w:rPr>
              <w:t>allocation</w:t>
            </w:r>
            <w:r>
              <w:rPr>
                <w:b w:val="0"/>
                <w:i w:val="0"/>
                <w:sz w:val="20"/>
              </w:rPr>
              <w:t xml:space="preserve"> itself needs the EXCO.</w:t>
            </w:r>
          </w:p>
        </w:tc>
      </w:tr>
    </w:tbl>
    <w:p>
      <w:pPr>
        <w:spacing w:after="80"/>
      </w:pPr>
    </w:p>
    <w:p>
      <w:pPr>
        <w:pStyle w:val="Heading1"/>
        <w:spacing w:before="440" w:after="120"/>
        <w:keepNext/>
      </w:pPr>
      <w:r>
        <w:rPr>
          <w:rFonts w:ascii="Segoe UI Semibold" w:hAnsi="Segoe UI Semibold"/>
          <w:color w:val="2F5B9C"/>
          <w:sz w:val="34"/>
        </w:rPr>
        <w:t>Keeping the church’s records</w:t>
      </w:r>
    </w:p>
    <w:p>
      <w:pPr>
        <w:spacing w:after="200" w:line="283" w:lineRule="auto"/>
      </w:pPr>
      <w:r>
        <w:rPr>
          <w:b w:val="0"/>
          <w:i w:val="0"/>
          <w:color w:val="3A4A60"/>
          <w:sz w:val="24"/>
        </w:rPr>
        <w:t>The directory, the congregations and the offices are yours. They are reference data the whole app depends on, and getting them right is quiet, important work.</w:t>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spacing w:after="80"/>
      </w:pPr>
    </w:p>
    <w:p>
      <w:pPr>
        <w:spacing w:after="120" w:line="283" w:lineRule="auto"/>
      </w:pPr>
      <w:r>
        <w:rPr>
          <w:b w:val="0"/>
          <w:i w:val="0"/>
          <w:sz w:val="21"/>
        </w:rPr>
        <w:t xml:space="preserve">All four are under </w:t>
      </w:r>
      <w:r>
        <w:rPr>
          <w:b/>
          <w:i w:val="0"/>
          <w:sz w:val="21"/>
        </w:rPr>
        <w:t>Administration</w:t>
      </w:r>
      <w:r>
        <w:rPr>
          <w:b w:val="0"/>
          <w:i w:val="0"/>
          <w:sz w:val="21"/>
        </w:rPr>
        <w:t xml:space="preserve"> in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Why this matters more than it looks.</w:t>
            </w:r>
            <w:r>
              <w:rPr>
                <w:b w:val="0"/>
                <w:i w:val="0"/>
                <w:sz w:val="20"/>
              </w:rPr>
              <w:t xml:space="preserve"> Leave routing reads the directory to decide who approves whom. A pastor recorded against the wrong congregation has their leave sent to the wrong Dean, and nobody discovers it until the leave is late. When a record changes, change it here first.</w:t>
            </w:r>
          </w:p>
        </w:tc>
      </w:tr>
    </w:tbl>
    <w:p>
      <w:pPr>
        <w:spacing w:after="80"/>
      </w:pPr>
    </w:p>
    <w:p>
      <w:pPr>
        <w:spacing w:after="120" w:line="283" w:lineRule="auto"/>
      </w:pPr>
      <w:r>
        <w:rPr>
          <w:b w:val="0"/>
          <w:i w:val="0"/>
          <w:sz w:val="21"/>
        </w:rPr>
        <w:t>None of the money is yours: not vouchers, not budgets, not payroll. That is deliberate, and it is why those pages are not in your list.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1"/>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2"/>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5" name="Picture 5"/>
            <wp:cNvGraphicFramePr>
              <a:graphicFrameLocks noChangeAspect="1"/>
            </wp:cNvGraphicFramePr>
            <a:graphic>
              <a:graphicData uri="http://schemas.openxmlformats.org/drawingml/2006/picture">
                <pic:pic>
                  <pic:nvPicPr>
                    <pic:cNvPr id="0" name="fig05-05-my-leave.png"/>
                    <pic:cNvPicPr/>
                  </pic:nvPicPr>
                  <pic:blipFill>
                    <a:blip r:embed="rId13"/>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the church’s records — the directory, congregations and offices — alongside your own claims and leave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