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Building &amp; Event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Building and event vouchers</w:t>
      </w:r>
    </w:p>
    <w:p>
      <w:pPr>
        <w:spacing w:after="200" w:line="283" w:lineRule="auto"/>
      </w:pPr>
      <w:r>
        <w:rPr>
          <w:b w:val="0"/>
          <w:i w:val="0"/>
          <w:color w:val="3A4A60"/>
          <w:sz w:val="24"/>
        </w:rPr>
        <w:t xml:space="preserve">The property side has its own entries, under </w:t>
      </w:r>
      <w:r>
        <w:rPr>
          <w:b/>
          <w:i w:val="0"/>
          <w:color w:val="3A4A60"/>
          <w:sz w:val="24"/>
        </w:rPr>
        <w:t>Building &amp; Events</w:t>
      </w:r>
      <w:r>
        <w:rPr>
          <w:b w:val="0"/>
          <w:i w:val="0"/>
          <w:color w:val="3A4A60"/>
          <w:sz w:val="24"/>
        </w:rPr>
        <w:t xml:space="preserve"> in the left-hand list.</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A BAM voucher goes to the BAM Committee rather than to a ministry EXCO, and then follows the same path as any other: Finance, the General Manager, the signing officers.</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building and event vouchers, worksheets, bookings and facility income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