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a Checker</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Checking a voucher</w:t>
      </w:r>
    </w:p>
    <w:p>
      <w:pPr>
        <w:spacing w:after="200" w:line="283" w:lineRule="auto"/>
      </w:pPr>
      <w:r>
        <w:rPr>
          <w:b w:val="0"/>
          <w:i w:val="0"/>
          <w:color w:val="3A4A60"/>
          <w:sz w:val="24"/>
        </w:rPr>
        <w:t>An EXCO Member has asked you to confirm that the particulars on their ministry’s vouchers are right, before they verify them.</w:t>
      </w:r>
    </w:p>
    <w:p>
      <w:pPr>
        <w:spacing w:after="120" w:line="283" w:lineRule="auto"/>
      </w:pPr>
      <w:r>
        <w:rPr>
          <w:b w:val="0"/>
          <w:i w:val="0"/>
          <w:sz w:val="21"/>
        </w:rPr>
        <w:t xml:space="preserve">Open </w:t>
      </w:r>
      <w:r>
        <w:rPr>
          <w:b/>
          <w:i w:val="0"/>
          <w:sz w:val="21"/>
        </w:rPr>
        <w:t>Approvals</w:t>
      </w:r>
      <w:r>
        <w:rPr>
          <w:b w:val="0"/>
          <w:i w:val="0"/>
          <w:sz w:val="21"/>
        </w:rPr>
        <w:t xml:space="preserve"> → </w:t>
      </w:r>
      <w:r>
        <w:rPr>
          <w:b/>
          <w:i w:val="0"/>
          <w:sz w:val="21"/>
        </w:rPr>
        <w:t>EXCO Queue</w:t>
      </w:r>
      <w:r>
        <w:rPr>
          <w:b w:val="0"/>
          <w:i w:val="0"/>
          <w:sz w:val="21"/>
        </w:rPr>
        <w:t>. Vouchers waiting for your check are listed there.</w:t>
      </w:r>
    </w:p>
    <w:p>
      <w:pPr>
        <w:pStyle w:val="ListNumber"/>
        <w:numPr>
          <w:ilvl w:val="0"/>
          <w:numId w:val="11"/>
        </w:numPr>
        <w:spacing w:after="40"/>
      </w:pPr>
      <w:r>
        <w:rPr>
          <w:b/>
          <w:i w:val="0"/>
          <w:sz w:val="21"/>
        </w:rPr>
        <w:t>Open the receipts</w:t>
      </w:r>
      <w:r>
        <w:rPr>
          <w:b w:val="0"/>
          <w:i w:val="0"/>
          <w:sz w:val="21"/>
        </w:rPr>
        <w:t xml:space="preserve"> and compare them with the amounts claimed.</w:t>
      </w:r>
    </w:p>
    <w:p>
      <w:pPr>
        <w:pStyle w:val="ListNumber"/>
        <w:spacing w:after="40"/>
      </w:pPr>
      <w:r>
        <w:rPr>
          <w:b/>
          <w:i w:val="0"/>
          <w:sz w:val="21"/>
        </w:rPr>
        <w:t>Check the purpose describes what actually happened</w:t>
      </w:r>
      <w:r>
        <w:rPr>
          <w:b w:val="0"/>
          <w:i w:val="0"/>
          <w:sz w:val="21"/>
        </w:rPr>
        <w:t xml:space="preserve"> — the date, the event, the people it was for.</w:t>
      </w:r>
    </w:p>
    <w:p>
      <w:pPr>
        <w:pStyle w:val="ListNumber"/>
        <w:spacing w:after="40"/>
      </w:pPr>
      <w:r>
        <w:rPr>
          <w:b/>
          <w:i w:val="0"/>
          <w:sz w:val="21"/>
        </w:rPr>
        <w:t>Confirm the check</w:t>
      </w:r>
      <w:r>
        <w:rPr>
          <w:b w:val="0"/>
          <w:i w:val="0"/>
          <w:sz w:val="21"/>
        </w:rPr>
        <w:t>, or send it back with a reason saying what does not match.</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check is not the approval.</w:t>
            </w:r>
            <w:r>
              <w:rPr>
                <w:b w:val="0"/>
                <w:i w:val="0"/>
                <w:sz w:val="20"/>
              </w:rPr>
              <w:t xml:space="preserve"> Once you are satisfied, the voucher goes to the EXCO Member to verify, and on from there. You are confirming the particulars are accurate, not authorising the payment — unless your EXCO Member has delegated a specific budget line to you, in which case your check settles that line outright and the voucher moves straight on.</w:t>
            </w:r>
          </w:p>
        </w:tc>
      </w:tr>
    </w:tbl>
    <w:p>
      <w:pPr>
        <w:spacing w:after="80"/>
      </w:pPr>
    </w:p>
    <w:p>
      <w:pPr>
        <w:spacing w:after="120" w:line="283" w:lineRule="auto"/>
      </w:pPr>
      <w:r>
        <w:rPr>
          <w:b w:val="0"/>
          <w:i w:val="0"/>
          <w:sz w:val="21"/>
        </w:rPr>
        <w:t>A voucher you raised yourself counts as checked when you send it: you cannot check your own work, so it goes to the EXCO Member to verify as normal.</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2"/>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3" name="Picture 3"/>
            <wp:cNvGraphicFramePr>
              <a:graphicFrameLocks noChangeAspect="1"/>
            </wp:cNvGraphicFramePr>
            <a:graphic>
              <a:graphicData uri="http://schemas.openxmlformats.org/drawingml/2006/picture">
                <pic:pic>
                  <pic:nvPicPr>
                    <pic:cNvPr id="0" name="fig03-03-request-desktop.png"/>
                    <pic:cNvPicPr/>
                  </pic:nvPicPr>
                  <pic:blipFill>
                    <a:blip r:embed="rId11"/>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checking that a voucher’s particulars are right before the EXCO Member verifies it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