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General Manager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Approving a payment</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xml:space="preserve">. The first tab, </w:t>
      </w:r>
      <w:r>
        <w:rPr>
          <w:b/>
          <w:i w:val="0"/>
          <w:color w:val="3A4A60"/>
          <w:sz w:val="24"/>
        </w:rPr>
        <w:t>Needs your approval</w:t>
      </w:r>
      <w:r>
        <w:rPr>
          <w:b w:val="0"/>
          <w:i w:val="0"/>
          <w:color w:val="3A4A60"/>
          <w:sz w:val="24"/>
        </w:rPr>
        <w:t>, is what the ministry has verified and Finance has reviewed, now waiting on you.</w:t>
      </w:r>
    </w:p>
    <w:p>
      <w:pPr>
        <w:pStyle w:val="ListNumber"/>
        <w:numPr>
          <w:ilvl w:val="0"/>
          <w:numId w:val="11"/>
        </w:numPr>
        <w:spacing w:after="40"/>
      </w:pPr>
      <w:r>
        <w:rPr>
          <w:b/>
          <w:i w:val="0"/>
          <w:sz w:val="21"/>
        </w:rPr>
        <w:t>Read what it is for</w:t>
      </w:r>
      <w:r>
        <w:rPr>
          <w:b w:val="0"/>
          <w:i w:val="0"/>
          <w:sz w:val="21"/>
        </w:rPr>
        <w:t>, and open the receipts if the purpose does not settle it.</w:t>
      </w:r>
    </w:p>
    <w:p>
      <w:pPr>
        <w:pStyle w:val="ListNumber"/>
        <w:spacing w:after="40"/>
      </w:pPr>
      <w:r>
        <w:rPr>
          <w:b/>
          <w:i w:val="0"/>
          <w:sz w:val="21"/>
        </w:rPr>
        <w:t>Check the budget line.</w:t>
      </w:r>
      <w:r>
        <w:rPr>
          <w:b w:val="0"/>
          <w:i w:val="0"/>
          <w:sz w:val="21"/>
        </w:rPr>
        <w:t xml:space="preserve"> Tap the budget chip to see the line it comes out of, what remains on it, and what would be left after this payment.</w:t>
      </w:r>
    </w:p>
    <w:p>
      <w:pPr>
        <w:pStyle w:val="ListNumber"/>
        <w:spacing w:after="40"/>
      </w:pPr>
      <w:r>
        <w:rPr>
          <w:b/>
          <w:i w:val="0"/>
          <w:sz w:val="21"/>
        </w:rPr>
        <w:t>Approve, and it goes to the signing officers.</w:t>
      </w:r>
      <w:r>
        <w:rPr>
          <w:b w:val="0"/>
          <w:i w:val="0"/>
          <w:sz w:val="21"/>
        </w:rPr>
        <w:t xml:space="preserve"> Reject, and it goes back with your reason.</w:t>
      </w:r>
    </w:p>
    <w:p>
      <w:pPr>
        <w:spacing w:after="120" w:line="283" w:lineRule="auto"/>
      </w:pPr>
      <w:r>
        <w:rPr>
          <w:b w:val="0"/>
          <w:i w:val="0"/>
          <w:sz w:val="21"/>
        </w:rPr>
        <w:t xml:space="preserve">The second tab, </w:t>
      </w:r>
      <w:r>
        <w:rPr>
          <w:b/>
          <w:i w:val="0"/>
          <w:sz w:val="21"/>
        </w:rPr>
        <w:t>With the signatories</w:t>
      </w:r>
      <w:r>
        <w:rPr>
          <w:b w:val="0"/>
          <w:i w:val="0"/>
          <w:sz w:val="21"/>
        </w:rPr>
        <w:t>, is what you have already approved and which is now waiting on the Bishop, Treasurer or Secretary. It is there so you can answer “where is my claim?” without asking anybody.</w:t>
      </w:r>
    </w:p>
    <w:p>
      <w:pPr>
        <w:pStyle w:val="Heading2"/>
        <w:spacing w:before="240" w:after="120"/>
        <w:keepNext/>
      </w:pPr>
      <w:r>
        <w:rPr>
          <w:rFonts w:ascii="Segoe UI Semibold" w:hAnsi="Segoe UI Semibold"/>
          <w:color w:val="1C2738"/>
          <w:sz w:val="25"/>
        </w:rPr>
        <w:t>Claims brought to you directly</w:t>
      </w:r>
    </w:p>
    <w:p>
      <w:pPr>
        <w:spacing w:after="120" w:line="283" w:lineRule="auto"/>
      </w:pPr>
      <w:r>
        <w:rPr>
          <w:b w:val="0"/>
          <w:i w:val="0"/>
          <w:sz w:val="21"/>
        </w:rPr>
        <w:t xml:space="preserve">When somebody brings you a claim outside the system — a letter, a conversation, an invoice handed over — record it under </w:t>
      </w:r>
      <w:r>
        <w:rPr>
          <w:b/>
          <w:i w:val="0"/>
          <w:sz w:val="21"/>
        </w:rPr>
        <w:t>Approvals</w:t>
      </w:r>
      <w:r>
        <w:rPr>
          <w:b w:val="0"/>
          <w:i w:val="0"/>
          <w:sz w:val="21"/>
        </w:rPr>
        <w:t xml:space="preserve"> → </w:t>
      </w:r>
      <w:r>
        <w:rPr>
          <w:b/>
          <w:i w:val="0"/>
          <w:sz w:val="21"/>
        </w:rPr>
        <w:t>GM Claims</w:t>
      </w:r>
      <w:r>
        <w:rPr>
          <w:b w:val="0"/>
          <w:i w:val="0"/>
          <w:sz w:val="21"/>
        </w:rPr>
        <w:t>. Finance picks it up from there and raises the voucher, and the trail starts from your instruction rather than from nothing.</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4" name="Picture 4"/>
            <wp:cNvGraphicFramePr>
              <a:graphicFrameLocks noChangeAspect="1"/>
            </wp:cNvGraphicFramePr>
            <a:graphic>
              <a:graphicData uri="http://schemas.openxmlformats.org/drawingml/2006/picture">
                <pic:pic>
                  <pic:nvPicPr>
                    <pic:cNvPr id="0" name="fig04-12-budget.png"/>
                    <pic:cNvPicPr/>
                  </pic:nvPicPr>
                  <pic:blipFill>
                    <a:blip r:embed="rId12"/>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The annual budget is not yours to approve on your own. It is decided by the EXCO, voting at a meeting called for that purpose and no other.</w:t>
      </w:r>
    </w:p>
    <w:p>
      <w:pPr>
        <w:spacing w:after="120" w:line="283" w:lineRule="auto"/>
      </w:pPr>
      <w:r>
        <w:rPr>
          <w:b w:val="0"/>
          <w:i w:val="0"/>
          <w:sz w:val="21"/>
        </w:rPr>
        <w:t>Proposing and accepting the budget is the whole business of that meeting. The Treasurer, the Secretary and the Bishop each have a voice in it, and so does the rest of the EXCO. What happens in the app afterwards is the recording of what was resolved.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What the button actually does.</w:t>
            </w:r>
            <w:r>
              <w:rPr>
                <w:b w:val="0"/>
                <w:i w:val="0"/>
                <w:sz w:val="20"/>
              </w:rPr>
              <w:t xml:space="preserve"> Pressing </w:t>
            </w:r>
            <w:r>
              <w:rPr>
                <w:b w:val="0"/>
                <w:i/>
                <w:sz w:val="20"/>
              </w:rPr>
              <w:t>Approve</w:t>
            </w:r>
            <w:r>
              <w:rPr>
                <w:b w:val="0"/>
                <w:i w:val="0"/>
                <w:sz w:val="20"/>
              </w:rPr>
              <w:t xml:space="preserve"> does not make the budget approved — the meeting did that. It puts the agreed figures live so claims can be charged against them. Press it after the meeting, not instead of one: approving beforehand would leave the app disagreeing with the minute book, and the minute book is the authority.</w:t>
            </w:r>
          </w:p>
        </w:tc>
      </w:tr>
    </w:tbl>
    <w:p>
      <w:pPr>
        <w:spacing w:after="80"/>
      </w:pPr>
    </w:p>
    <w:p>
      <w:pPr>
        <w:pStyle w:val="ListNumber"/>
        <w:numPr>
          <w:ilvl w:val="0"/>
          <w:numId w:val="13"/>
        </w:numPr>
        <w:spacing w:after="40"/>
      </w:pPr>
      <w:r>
        <w:rPr>
          <w:b/>
          <w:i w:val="0"/>
          <w:sz w:val="21"/>
        </w:rPr>
        <w:t>The EXCO meets and votes.</w:t>
      </w:r>
    </w:p>
    <w:p>
      <w:pPr>
        <w:spacing w:after="120"/>
        <w:ind w:left="510"/>
      </w:pPr>
      <w:r>
        <w:rPr>
          <w:b w:val="0"/>
          <w:i w:val="0"/>
          <w:color w:val="6B7280"/>
          <w:sz w:val="19"/>
        </w:rPr>
        <w:t>A meeting for the budget alone, and the decision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Proposals from every ministry are listed together, so the meeting can work through them without going ministry by ministry.</w:t>
      </w:r>
    </w:p>
    <w:p>
      <w:pPr>
        <w:pStyle w:val="ListNumber"/>
        <w:spacing w:after="40"/>
      </w:pPr>
      <w:r>
        <w:rPr>
          <w:b/>
          <w:i w:val="0"/>
          <w:sz w:val="21"/>
        </w:rPr>
        <w:t>Record what was decided, with a note.</w:t>
      </w:r>
    </w:p>
    <w:p>
      <w:pPr>
        <w:spacing w:after="120"/>
        <w:ind w:left="510"/>
      </w:pPr>
      <w:r>
        <w:rPr>
          <w:b w:val="0"/>
          <w:i w:val="0"/>
          <w:color w:val="6B7280"/>
          <w:sz w:val="19"/>
        </w:rPr>
        <w:t>Approving makes the lines live. Sending one back unlocks it so the ministry can revise it before the next meeting, and your note is what they are given to work from.</w:t>
      </w:r>
    </w:p>
    <w:p>
      <w:pPr>
        <w:spacing w:after="120" w:line="283" w:lineRule="auto"/>
      </w:pPr>
      <w:r>
        <w:rPr>
          <w:b w:val="0"/>
          <w:i w:val="0"/>
          <w:sz w:val="21"/>
        </w:rPr>
        <w:t>A change asked for mid-year works the same way and says what is being changed and why. Until it is recorded, the ministry’s page keeps showing the figures that were actually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5" name="Picture 5"/>
            <wp:cNvGraphicFramePr>
              <a:graphicFrameLocks noChangeAspect="1"/>
            </wp:cNvGraphicFramePr>
            <a:graphic>
              <a:graphicData uri="http://schemas.openxmlformats.org/drawingml/2006/picture">
                <pic:pic>
                  <pic:nvPicPr>
                    <pic:cNvPr id="0" name="fig05-03-request-desktop.png"/>
                    <pic:cNvPicPr/>
                  </pic:nvPicPr>
                  <pic:blipFill>
                    <a:blip r:embed="rId13"/>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verifying payments, approving leave, and the whole church’s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