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 Signing Officer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 with a note.</w:t>
      </w:r>
    </w:p>
    <w:p>
      <w:pPr>
        <w:spacing w:after="120"/>
        <w:ind w:left="510"/>
      </w:pPr>
      <w:r>
        <w:rPr>
          <w:b w:val="0"/>
          <w:i w:val="0"/>
          <w:color w:val="6B7280"/>
          <w:sz w:val="19"/>
        </w:rPr>
        <w:t>Approving makes the lines live. Sending one back unlocks it so the ministry can revise it before the next meeting, and your note is what they are given to work from.</w:t>
      </w:r>
    </w:p>
    <w:p>
      <w:pPr>
        <w:spacing w:after="120" w:line="283" w:lineRule="auto"/>
      </w:pPr>
      <w:r>
        <w:rPr>
          <w:b w:val="0"/>
          <w:i w:val="0"/>
          <w:sz w:val="21"/>
        </w:rPr>
        <w:t>A change asked for mid-year works the same way and says what is being changed and why. Until it is recorded, the ministry’s page keeps showing the figures that were actually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