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Finance Executive</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3" name="Picture 3"/>
            <wp:cNvGraphicFramePr>
              <a:graphicFrameLocks noChangeAspect="1"/>
            </wp:cNvGraphicFramePr>
            <a:graphic>
              <a:graphicData uri="http://schemas.openxmlformats.org/drawingml/2006/picture">
                <pic:pic>
                  <pic:nvPicPr>
                    <pic:cNvPr id="0" name="fig03-12-budget.png"/>
                    <pic:cNvPicPr/>
                  </pic:nvPicPr>
                  <pic:blipFill>
                    <a:blip r:embed="rId11"/>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Reviewing a voucher</w:t>
      </w:r>
    </w:p>
    <w:p>
      <w:pPr>
        <w:spacing w:after="200" w:line="283" w:lineRule="auto"/>
      </w:pPr>
      <w:r>
        <w:rPr>
          <w:b w:val="0"/>
          <w:i w:val="0"/>
          <w:color w:val="3A4A60"/>
          <w:sz w:val="24"/>
        </w:rPr>
        <w:t xml:space="preserve">Open </w:t>
      </w:r>
      <w:r>
        <w:rPr>
          <w:b/>
          <w:i w:val="0"/>
          <w:color w:val="3A4A60"/>
          <w:sz w:val="24"/>
        </w:rPr>
        <w:t>Payments</w:t>
      </w:r>
      <w:r>
        <w:rPr>
          <w:b w:val="0"/>
          <w:i w:val="0"/>
          <w:color w:val="3A4A60"/>
          <w:sz w:val="24"/>
        </w:rPr>
        <w:t xml:space="preserve"> → </w:t>
      </w:r>
      <w:r>
        <w:rPr>
          <w:b/>
          <w:i w:val="0"/>
          <w:color w:val="3A4A60"/>
          <w:sz w:val="24"/>
        </w:rPr>
        <w:t>Finance Activity</w:t>
      </w:r>
      <w:r>
        <w:rPr>
          <w:b w:val="0"/>
          <w:i w:val="0"/>
          <w:color w:val="3A4A60"/>
          <w:sz w:val="24"/>
        </w:rPr>
        <w:t xml:space="preserve"> for every voucher by stage, or work from the queue of what is waiting on you.</w:t>
      </w:r>
    </w:p>
    <w:p>
      <w:pPr>
        <w:pStyle w:val="ListNumber"/>
        <w:numPr>
          <w:ilvl w:val="0"/>
          <w:numId w:val="11"/>
        </w:numPr>
        <w:spacing w:after="40"/>
      </w:pPr>
      <w:r>
        <w:rPr>
          <w:b/>
          <w:i w:val="0"/>
          <w:sz w:val="21"/>
        </w:rPr>
        <w:t>Check the particulars</w:t>
      </w:r>
      <w:r>
        <w:rPr>
          <w:b w:val="0"/>
          <w:i w:val="0"/>
          <w:sz w:val="21"/>
        </w:rPr>
        <w:t xml:space="preserve"> — receipts against amounts, the payee’s bank details, the ministry and project.</w:t>
      </w:r>
    </w:p>
    <w:p>
      <w:pPr>
        <w:pStyle w:val="ListNumber"/>
        <w:spacing w:after="40"/>
      </w:pPr>
      <w:r>
        <w:rPr>
          <w:b/>
          <w:i w:val="0"/>
          <w:sz w:val="21"/>
        </w:rPr>
        <w:t>Give it the office reference and account code.</w:t>
      </w:r>
      <w:r>
        <w:rPr>
          <w:b w:val="0"/>
          <w:i w:val="0"/>
          <w:sz w:val="21"/>
        </w:rPr>
        <w:t xml:space="preserve"> These are typed, not generated: the church’s own filing decides them. The field suggests the next number in the series and tells you if one is already used or skipped, but it will not stop you — the suggestion is help, not a rule.</w:t>
      </w:r>
    </w:p>
    <w:p>
      <w:pPr>
        <w:pStyle w:val="ListNumber"/>
        <w:spacing w:after="40"/>
      </w:pPr>
      <w:r>
        <w:rPr>
          <w:b/>
          <w:i w:val="0"/>
          <w:sz w:val="21"/>
        </w:rPr>
        <w:t>Review it</w:t>
      </w:r>
      <w:r>
        <w:rPr>
          <w:b w:val="0"/>
          <w:i w:val="0"/>
          <w:sz w:val="21"/>
        </w:rPr>
        <w:t>, and it goes to the General Manager.</w:t>
      </w:r>
    </w:p>
    <w:p>
      <w:pPr>
        <w:pStyle w:val="Heading2"/>
        <w:spacing w:before="240" w:after="120"/>
        <w:keepNext/>
      </w:pPr>
      <w:r>
        <w:rPr>
          <w:rFonts w:ascii="Segoe UI Semibold" w:hAnsi="Segoe UI Semibold"/>
          <w:color w:val="1C2738"/>
          <w:sz w:val="25"/>
        </w:rPr>
        <w:t>Claims the General Manager has accepted</w:t>
      </w:r>
    </w:p>
    <w:p>
      <w:pPr>
        <w:spacing w:after="120" w:line="283" w:lineRule="auto"/>
      </w:pPr>
      <w:r>
        <w:rPr>
          <w:b/>
          <w:i w:val="0"/>
          <w:sz w:val="21"/>
        </w:rPr>
        <w:t>Approvals</w:t>
      </w:r>
      <w:r>
        <w:rPr>
          <w:b w:val="0"/>
          <w:i w:val="0"/>
          <w:sz w:val="21"/>
        </w:rPr>
        <w:t xml:space="preserve"> → </w:t>
      </w:r>
      <w:r>
        <w:rPr>
          <w:b/>
          <w:i w:val="0"/>
          <w:sz w:val="21"/>
        </w:rPr>
        <w:t>GM Claims</w:t>
      </w:r>
      <w:r>
        <w:rPr>
          <w:b w:val="0"/>
          <w:i w:val="0"/>
          <w:sz w:val="21"/>
        </w:rPr>
        <w:t xml:space="preserve"> holds what he has accepted outside the system and asked you to raise. Raising one from there carries his instruction onto the voucher, so the authority is attached rather than remembered.</w:t>
      </w:r>
    </w:p>
    <w:p>
      <w:pPr>
        <w:pStyle w:val="Heading2"/>
        <w:spacing w:before="240" w:after="120"/>
        <w:keepNext/>
      </w:pPr>
      <w:r>
        <w:rPr>
          <w:rFonts w:ascii="Segoe UI Semibold" w:hAnsi="Segoe UI Semibold"/>
          <w:color w:val="1C2738"/>
          <w:sz w:val="25"/>
        </w:rPr>
        <w:t>Marking a payment made</w:t>
      </w:r>
    </w:p>
    <w:p>
      <w:pPr>
        <w:spacing w:after="120" w:line="283" w:lineRule="auto"/>
      </w:pPr>
      <w:r>
        <w:rPr>
          <w:b/>
          <w:i w:val="0"/>
          <w:sz w:val="21"/>
        </w:rPr>
        <w:t>Payments</w:t>
      </w:r>
      <w:r>
        <w:rPr>
          <w:b w:val="0"/>
          <w:i w:val="0"/>
          <w:sz w:val="21"/>
        </w:rPr>
        <w:t xml:space="preserve"> → </w:t>
      </w:r>
      <w:r>
        <w:rPr>
          <w:b/>
          <w:i w:val="0"/>
          <w:sz w:val="21"/>
        </w:rPr>
        <w:t>Payments</w:t>
      </w:r>
      <w:r>
        <w:rPr>
          <w:b w:val="0"/>
          <w:i w:val="0"/>
          <w:sz w:val="21"/>
        </w:rPr>
        <w:t>, once the officers have signed. Record the date, the reference and the account it went from. A voucher cannot be marked paid before it is approved.</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2"/>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3"/>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5" name="Picture 5"/>
            <wp:cNvGraphicFramePr>
              <a:graphicFrameLocks noChangeAspect="1"/>
            </wp:cNvGraphicFramePr>
            <a:graphic>
              <a:graphicData uri="http://schemas.openxmlformats.org/drawingml/2006/picture">
                <pic:pic>
                  <pic:nvPicPr>
                    <pic:cNvPr id="0" name="fig05-05-my-leave.png"/>
                    <pic:cNvPicPr/>
                  </pic:nvPicPr>
                  <pic:blipFill>
                    <a:blip r:embed="rId13"/>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reviewing vouchers, raising them from the GM’s instructions, and the figures behind the budget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