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w:t>
      </w:r>
    </w:p>
    <w:p>
      <w:pPr>
        <w:spacing w:after="160" w:line="283" w:lineRule="auto"/>
      </w:pPr>
      <w:r>
        <w:rPr>
          <w:rFonts w:ascii="Segoe UI Semibold" w:hAnsi="Segoe UI Semibold"/>
          <w:b/>
          <w:i w:val="0"/>
          <w:color w:val="1C2738"/>
          <w:sz w:val="52"/>
        </w:rPr>
        <w:t>For a Signing Officer</w:t>
      </w:r>
    </w:p>
    <w:p>
      <w:pPr>
        <w:pStyle w:val="Heading1"/>
        <w:spacing w:before="440" w:after="120"/>
        <w:keepNext/>
      </w:pPr>
      <w:r>
        <w:rPr>
          <w:rFonts w:ascii="Segoe UI Semibold" w:hAnsi="Segoe UI Semibold"/>
          <w:color w:val="2F5B9C"/>
          <w:sz w:val="34"/>
        </w:rPr>
        <w:t>Getting in</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74903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749039"/>
                    </a:xfrm>
                    <a:prstGeom prst="rect"/>
                  </pic:spPr>
                </pic:pic>
              </a:graphicData>
            </a:graphic>
          </wp:inline>
        </w:drawing>
      </w:r>
    </w:p>
    <w:p>
      <w:pPr>
        <w:spacing w:after="200" w:line="283" w:lineRule="auto"/>
        <w:jc w:val="center"/>
      </w:pPr>
      <w:r>
        <w:rPr>
          <w:b w:val="0"/>
          <w:i/>
          <w:color w:val="6B7280"/>
          <w:sz w:val="18"/>
        </w:rPr>
        <w:t>This is what you will see.</w:t>
      </w:r>
    </w:p>
    <w:p>
      <w:pPr>
        <w:pStyle w:val="ListNumber"/>
        <w:numPr>
          <w:ilvl w:val="0"/>
          <w:numId w:val="10"/>
        </w:numP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 Nothing to type.</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your approvals are recorded against.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pStyle w:val="Heading2"/>
        <w:spacing w:before="240" w:after="120"/>
        <w:keepNext/>
      </w:pPr>
      <w:r>
        <w:rPr>
          <w:rFonts w:ascii="Segoe UI Semibold" w:hAnsi="Segoe UI Semibold"/>
          <w:color w:val="1C2738"/>
          <w:sz w:val="25"/>
        </w:rPr>
        <w:t>If the app looks emptier than this guide describes</w:t>
      </w:r>
    </w:p>
    <w:p>
      <w:pPr>
        <w:spacing w:after="120" w:line="283" w:lineRule="auto"/>
      </w:pPr>
      <w:r>
        <w:rPr>
          <w:b w:val="0"/>
          <w:i w:val="0"/>
          <w:sz w:val="21"/>
        </w:rPr>
        <w:t>Your role has not been set yet. Signing in gets you through the door; what you may do once inside is recorded by the HQ office, usually the same day. Ask them to set it, then sign in again.</w:t>
      </w:r>
    </w:p>
    <w:p>
      <w:pPr>
        <w:pStyle w:val="Heading1"/>
        <w:spacing w:before="440" w:after="120"/>
        <w:keepNext/>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367272" cy="5579998"/>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367272" cy="5579998"/>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pPr>
        <w:pStyle w:val="Heading1"/>
        <w:spacing w:before="440" w:after="120"/>
        <w:keepNext/>
      </w:pPr>
      <w:r>
        <w:rPr>
          <w:rFonts w:ascii="Segoe UI Semibold" w:hAnsi="Segoe UI Semibold"/>
          <w:color w:val="2F5B9C"/>
          <w:sz w:val="34"/>
        </w:rPr>
        <w:t>Signing a voucher</w:t>
      </w:r>
    </w:p>
    <w:p>
      <w:pPr>
        <w:spacing w:after="200" w:line="283" w:lineRule="auto"/>
      </w:pPr>
      <w:r>
        <w:rPr>
          <w:b w:val="0"/>
          <w:i w:val="0"/>
          <w:color w:val="3A4A60"/>
          <w:sz w:val="24"/>
        </w:rPr>
        <w:t xml:space="preserve">Open </w:t>
      </w:r>
      <w:r>
        <w:rPr>
          <w:b/>
          <w:i w:val="0"/>
          <w:color w:val="3A4A60"/>
          <w:sz w:val="24"/>
        </w:rPr>
        <w:t>Approve Vouchers</w:t>
      </w:r>
      <w:r>
        <w:rPr>
          <w:b w:val="0"/>
          <w:i w:val="0"/>
          <w:color w:val="3A4A60"/>
          <w:sz w:val="24"/>
        </w:rPr>
        <w:t>, at the top of the left-hand list. What is there is waiting on your signature and nothing else.</w:t>
      </w:r>
    </w:p>
    <w:p>
      <w:pPr>
        <w:spacing w:after="120" w:line="283" w:lineRule="auto"/>
      </w:pPr>
      <w:r>
        <w:rPr>
          <w:b w:val="0"/>
          <w:i w:val="0"/>
          <w:sz w:val="21"/>
        </w:rPr>
        <w:t>You will not see a voucher that is still with the ministry, with Finance or with the General Manager. By the time one reaches you it has been verified by the EXCO, reviewed by Finance and approved by the General Manager — and the voucher itself shows you each of those, with the name and the date.</w:t>
      </w:r>
    </w:p>
    <w:p>
      <w:pPr>
        <w:spacing w:before="160" w:after="40"/>
        <w:jc w:val="center"/>
      </w:pPr>
      <w:r>
        <w:drawing>
          <wp:inline xmlns:a="http://schemas.openxmlformats.org/drawingml/2006/main" xmlns:pic="http://schemas.openxmlformats.org/drawingml/2006/picture">
            <wp:extent cx="5903999" cy="4565759"/>
            <wp:docPr id="3" name="Picture 3"/>
            <wp:cNvGraphicFramePr>
              <a:graphicFrameLocks noChangeAspect="1"/>
            </wp:cNvGraphicFramePr>
            <a:graphic>
              <a:graphicData uri="http://schemas.openxmlformats.org/drawingml/2006/picture">
                <pic:pic>
                  <pic:nvPicPr>
                    <pic:cNvPr id="0" name="fig03-11-signatory-queue.png"/>
                    <pic:cNvPicPr/>
                  </pic:nvPicPr>
                  <pic:blipFill>
                    <a:blip r:embed="rId11"/>
                    <a:stretch>
                      <a:fillRect/>
                    </a:stretch>
                  </pic:blipFill>
                  <pic:spPr>
                    <a:xfrm>
                      <a:off x="0" y="0"/>
                      <a:ext cx="5903999" cy="4565759"/>
                    </a:xfrm>
                    <a:prstGeom prst="rect"/>
                  </pic:spPr>
                </pic:pic>
              </a:graphicData>
            </a:graphic>
          </wp:inline>
        </w:drawing>
      </w:r>
    </w:p>
    <w:p>
      <w:pPr>
        <w:spacing w:after="200" w:line="283" w:lineRule="auto"/>
        <w:jc w:val="center"/>
      </w:pPr>
      <w:r>
        <w:rPr>
          <w:b w:val="0"/>
          <w:i/>
          <w:color w:val="6B7280"/>
          <w:sz w:val="18"/>
        </w:rPr>
        <w:t>Four tabs, each with a count. The band across the top says how far a voucher has come and what is left — here, step 3 of 4. Everyone in this picture is invented.</w:t>
      </w:r>
    </w:p>
    <w:p>
      <w:pPr>
        <w:pStyle w:val="ListNumber"/>
        <w:numPr>
          <w:ilvl w:val="0"/>
          <w:numId w:val="11"/>
        </w:numPr>
        <w:spacing w:after="40"/>
      </w:pPr>
      <w:r>
        <w:rPr>
          <w:b/>
          <w:i w:val="0"/>
          <w:sz w:val="21"/>
        </w:rPr>
        <w:t>Read the purpose and the amount</w:t>
      </w:r>
      <w:r>
        <w:rPr>
          <w:b w:val="0"/>
          <w:i w:val="0"/>
          <w:sz w:val="21"/>
        </w:rPr>
        <w:t xml:space="preserve">, and open the receipts with the </w:t>
      </w:r>
      <w:r>
        <w:rPr>
          <w:b/>
          <w:i w:val="0"/>
          <w:sz w:val="21"/>
        </w:rPr>
        <w:t>Docs</w:t>
      </w:r>
      <w:r>
        <w:rPr>
          <w:b w:val="0"/>
          <w:i w:val="0"/>
          <w:sz w:val="21"/>
        </w:rPr>
        <w:t xml:space="preserve"> button if you want to see them.</w:t>
      </w:r>
    </w:p>
    <w:p>
      <w:pPr>
        <w:pStyle w:val="ListNumber"/>
        <w:spacing w:after="40"/>
      </w:pPr>
      <w:r>
        <w:rPr>
          <w:b/>
          <w:i w:val="0"/>
          <w:sz w:val="21"/>
        </w:rPr>
        <w:t>Check the budget.</w:t>
      </w:r>
      <w:r>
        <w:rPr>
          <w:b w:val="0"/>
          <w:i w:val="0"/>
          <w:sz w:val="21"/>
        </w:rPr>
        <w:t xml:space="preserve"> The green or amber chip says whether it fits — </w:t>
      </w:r>
      <w:r>
        <w:rPr>
          <w:b w:val="0"/>
          <w:i/>
          <w:sz w:val="21"/>
        </w:rPr>
        <w:t>tap it</w:t>
      </w:r>
      <w:r>
        <w:rPr>
          <w:b w:val="0"/>
          <w:i w:val="0"/>
          <w:sz w:val="21"/>
        </w:rPr>
        <w:t xml:space="preserve"> and it opens, naming the exact budget line and showing what is approved, what is spent, what is committed and what would be left if you sign.</w:t>
      </w:r>
    </w:p>
    <w:p>
      <w:pPr>
        <w:pStyle w:val="ListNumber"/>
        <w:spacing w:after="40"/>
      </w:pPr>
      <w:r>
        <w:rPr>
          <w:b/>
          <w:i w:val="0"/>
          <w:sz w:val="21"/>
        </w:rPr>
        <w:t>Approve or reject.</w:t>
      </w:r>
      <w:r>
        <w:rPr>
          <w:b w:val="0"/>
          <w:i w:val="0"/>
          <w:sz w:val="21"/>
        </w:rPr>
        <w:t xml:space="preserve"> Both ask for your PIN. A rejection asks for a reason, which goes back to whoever raised it.</w:t>
      </w:r>
    </w:p>
    <w:p>
      <w:pPr>
        <w:pStyle w:val="Heading2"/>
        <w:spacing w:before="240" w:after="120"/>
        <w:keepNext/>
      </w:pPr>
      <w:r>
        <w:rPr>
          <w:rFonts w:ascii="Segoe UI Semibold" w:hAnsi="Segoe UI Semibold"/>
          <w:color w:val="1C2738"/>
          <w:sz w:val="25"/>
        </w:rPr>
        <w:t>How many signatures</w:t>
      </w:r>
    </w:p>
    <w:p>
      <w:pPr>
        <w:spacing w:after="120" w:line="283" w:lineRule="auto"/>
      </w:pPr>
      <w:r>
        <w:rPr>
          <w:b w:val="0"/>
          <w:i w:val="0"/>
          <w:sz w:val="21"/>
        </w:rPr>
        <w:t>Up to RM30,000 the Treasurer alone is enough. Above that it takes two officers, any two of the Bishop, the Secretary and the Treasurer. The voucher tells you which it is and how many signatures it already has.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Nobody signs their own payment.</w:t>
            </w:r>
            <w:r>
              <w:rPr>
                <w:b w:val="0"/>
                <w:i w:val="0"/>
                <w:sz w:val="20"/>
              </w:rPr>
              <w:t xml:space="preserve"> If a voucher pays you, or you were the one who raised it, the app will not offer you the buttons — another officer signs it instead. That is not a fault.</w:t>
            </w:r>
          </w:p>
        </w:tc>
      </w:tr>
    </w:tbl>
    <w:p>
      <w:pPr>
        <w:spacing w:after="80"/>
      </w:pPr>
    </w:p>
    <w:p>
      <w:pPr>
        <w:pStyle w:val="Heading2"/>
        <w:spacing w:before="240" w:after="120"/>
        <w:keepNext/>
      </w:pPr>
      <w:r>
        <w:rPr>
          <w:rFonts w:ascii="Segoe UI Semibold" w:hAnsi="Segoe UI Semibold"/>
          <w:color w:val="1C2738"/>
          <w:sz w:val="25"/>
        </w:rPr>
        <w:t>Your PIN</w:t>
      </w:r>
    </w:p>
    <w:p>
      <w:pPr>
        <w:spacing w:after="120" w:line="283" w:lineRule="auto"/>
      </w:pPr>
      <w:r>
        <w:rPr>
          <w:b w:val="0"/>
          <w:i w:val="0"/>
          <w:sz w:val="21"/>
        </w:rPr>
        <w:t xml:space="preserve">Signing asks for a four-digit PIN that is yours alone. Set it, or change it, from </w:t>
      </w:r>
      <w:r>
        <w:rPr>
          <w:b/>
          <w:i w:val="0"/>
          <w:sz w:val="21"/>
        </w:rPr>
        <w:t>Change my PIN</w:t>
      </w:r>
      <w:r>
        <w:rPr>
          <w:b w:val="0"/>
          <w:i w:val="0"/>
          <w:sz w:val="21"/>
        </w:rPr>
        <w:t xml:space="preserve"> at the top right of the same page. It is deliberately separate from how you sign in: signing in says who you are, and the PIN says you meant it.</w:t>
      </w:r>
    </w:p>
    <w:p>
      <w:pPr>
        <w:pStyle w:val="Heading1"/>
        <w:spacing w:before="440" w:after="120"/>
        <w:keepNext/>
      </w:pPr>
      <w:r>
        <w:rPr>
          <w:rFonts w:ascii="Segoe UI Semibold" w:hAnsi="Segoe UI Semibold"/>
          <w:color w:val="2F5B9C"/>
          <w:sz w:val="34"/>
        </w:rPr>
        <w:t>Approving leave</w:t>
      </w:r>
    </w:p>
    <w:p>
      <w:pPr>
        <w:spacing w:after="200" w:line="283" w:lineRule="auto"/>
      </w:pPr>
      <w:r>
        <w:rPr>
          <w:b w:val="0"/>
          <w:i w:val="0"/>
          <w:color w:val="3A4A60"/>
          <w:sz w:val="24"/>
        </w:rPr>
        <w:t xml:space="preserve">Open </w:t>
      </w:r>
      <w:r>
        <w:rPr>
          <w:b/>
          <w:i w:val="0"/>
          <w:color w:val="3A4A60"/>
          <w:sz w:val="24"/>
        </w:rPr>
        <w:t>Approve Leave</w:t>
      </w:r>
      <w:r>
        <w:rPr>
          <w:b w:val="0"/>
          <w:i w:val="0"/>
          <w:color w:val="3A4A60"/>
          <w:sz w:val="24"/>
        </w:rPr>
        <w:t>, at the top of the left-hand list. What is waiting on you is at the top; what is waiting on somebody else is below it, so you can see where an application has got to without it being your turn.</w:t>
      </w:r>
    </w:p>
    <w:p>
      <w:pPr>
        <w:spacing w:before="160" w:after="40"/>
        <w:jc w:val="center"/>
      </w:pPr>
      <w:r>
        <w:drawing>
          <wp:inline xmlns:a="http://schemas.openxmlformats.org/drawingml/2006/main" xmlns:pic="http://schemas.openxmlformats.org/drawingml/2006/picture">
            <wp:extent cx="5903999" cy="3193079"/>
            <wp:docPr id="4" name="Picture 4"/>
            <wp:cNvGraphicFramePr>
              <a:graphicFrameLocks noChangeAspect="1"/>
            </wp:cNvGraphicFramePr>
            <a:graphic>
              <a:graphicData uri="http://schemas.openxmlformats.org/drawingml/2006/picture">
                <pic:pic>
                  <pic:nvPicPr>
                    <pic:cNvPr id="0" name="fig04-07-leave-queue.png"/>
                    <pic:cNvPicPr/>
                  </pic:nvPicPr>
                  <pic:blipFill>
                    <a:blip r:embed="rId12"/>
                    <a:stretch>
                      <a:fillRect/>
                    </a:stretch>
                  </pic:blipFill>
                  <pic:spPr>
                    <a:xfrm>
                      <a:off x="0" y="0"/>
                      <a:ext cx="5903999" cy="3193079"/>
                    </a:xfrm>
                    <a:prstGeom prst="rect"/>
                  </pic:spPr>
                </pic:pic>
              </a:graphicData>
            </a:graphic>
          </wp:inline>
        </w:drawing>
      </w:r>
    </w:p>
    <w:p>
      <w:pPr>
        <w:spacing w:after="200" w:line="283" w:lineRule="auto"/>
        <w:jc w:val="center"/>
      </w:pPr>
      <w:r>
        <w:rPr>
          <w:b w:val="0"/>
          <w:i/>
          <w:color w:val="6B7280"/>
          <w:sz w:val="18"/>
        </w:rPr>
        <w:t>The queue an approver sees. Everyone in this picture is invented.</w:t>
      </w:r>
    </w:p>
    <w:p>
      <w:pPr>
        <w:pStyle w:val="ListNumber"/>
        <w:numPr>
          <w:ilvl w:val="0"/>
          <w:numId w:val="12"/>
        </w:numPr>
        <w:spacing w:after="40"/>
      </w:pPr>
      <w:r>
        <w:rPr>
          <w:b/>
          <w:i w:val="0"/>
          <w:sz w:val="21"/>
        </w:rPr>
        <w:t>Open the application.</w:t>
      </w:r>
      <w:r>
        <w:rPr>
          <w:b w:val="0"/>
          <w:i w:val="0"/>
          <w:sz w:val="21"/>
        </w:rPr>
        <w:t xml:space="preserve"> It shows the dates, the reason, the balance the person had when they applied, and the chain of who must sign.</w:t>
      </w:r>
    </w:p>
    <w:p>
      <w:pPr>
        <w:pStyle w:val="ListNumber"/>
        <w:spacing w:after="40"/>
      </w:pPr>
      <w:r>
        <w:rPr>
          <w:b/>
          <w:i w:val="0"/>
          <w:sz w:val="21"/>
        </w:rPr>
        <w:t>Sign it</w:t>
      </w:r>
      <w:r>
        <w:rPr>
          <w:b w:val="0"/>
          <w:i w:val="0"/>
          <w:sz w:val="21"/>
        </w:rPr>
        <w:t xml:space="preserve"> — with your finger or your mouse — or reject it with a reason.</w:t>
      </w:r>
    </w:p>
    <w:p>
      <w:pPr>
        <w:pStyle w:val="Heading2"/>
        <w:spacing w:before="240" w:after="120"/>
        <w:keepNext/>
      </w:pPr>
      <w:r>
        <w:rPr>
          <w:rFonts w:ascii="Segoe UI Semibold" w:hAnsi="Segoe UI Semibold"/>
          <w:color w:val="1C2738"/>
          <w:sz w:val="25"/>
        </w:rPr>
        <w:t>The order matters</w:t>
      </w:r>
    </w:p>
    <w:p>
      <w:pPr>
        <w:spacing w:after="120" w:line="283" w:lineRule="auto"/>
      </w:pPr>
      <w:r>
        <w:rPr>
          <w:b w:val="0"/>
          <w:i w:val="0"/>
          <w:sz w:val="21"/>
        </w:rPr>
        <w:t>Leave is signed in order, not all at once. Office staff go to the General Manager first and then to the Bishop; a pastor goes to their Pastor in Charge and then the Dean; a head pastor to the Dean and then the Bishop; a Dean to the Bishop alone.</w:t>
      </w:r>
    </w:p>
    <w:p>
      <w:pPr>
        <w:spacing w:after="120" w:line="283" w:lineRule="auto"/>
      </w:pPr>
      <w:r>
        <w:rPr>
          <w:b w:val="0"/>
          <w:i w:val="0"/>
          <w:sz w:val="21"/>
        </w:rPr>
        <w:t>If it is not your turn yet the application will say so and the buttons will not be there. Nothing is lost — you will be emailed when it reaches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Nobody approves their own leave</w:t>
            </w:r>
            <w:r>
              <w:rPr>
                <w:b w:val="0"/>
                <w:i w:val="0"/>
                <w:sz w:val="20"/>
              </w:rPr>
              <w:t>, whatever office they hold. The chain skips you and goes to the person above.</w:t>
            </w:r>
          </w:p>
        </w:tc>
      </w:tr>
    </w:tbl>
    <w:p>
      <w:pPr>
        <w:spacing w:after="80"/>
      </w:pPr>
    </w:p>
    <w:p>
      <w:pPr>
        <w:pStyle w:val="Heading1"/>
        <w:spacing w:before="440" w:after="120"/>
        <w:keepNext/>
      </w:pPr>
      <w:r>
        <w:rPr>
          <w:rFonts w:ascii="Segoe UI Semibold" w:hAnsi="Segoe UI Semibold"/>
          <w:color w:val="2F5B9C"/>
          <w:sz w:val="34"/>
        </w:rPr>
        <w:t>The budget</w:t>
      </w:r>
    </w:p>
    <w:p>
      <w:pPr>
        <w:spacing w:after="200" w:line="283" w:lineRule="auto"/>
      </w:pPr>
      <w:r>
        <w:rPr>
          <w:b w:val="0"/>
          <w:i w:val="0"/>
          <w:color w:val="3A4A60"/>
          <w:sz w:val="24"/>
        </w:rPr>
        <w:t xml:space="preserve">Open </w:t>
      </w:r>
      <w:r>
        <w:rPr>
          <w:b/>
          <w:i w:val="0"/>
          <w:color w:val="3A4A60"/>
          <w:sz w:val="24"/>
        </w:rPr>
        <w:t>Budget</w:t>
      </w:r>
      <w:r>
        <w:rPr>
          <w:b w:val="0"/>
          <w:i w:val="0"/>
          <w:color w:val="3A4A60"/>
          <w:sz w:val="24"/>
        </w:rPr>
        <w:t>. You see the ministries you are entitled to see — your own, or all of them.</w:t>
      </w:r>
    </w:p>
    <w:p>
      <w:pPr>
        <w:spacing w:after="120" w:line="283" w:lineRule="auto"/>
      </w:pPr>
      <w:r>
        <w:rPr>
          <w:b w:val="0"/>
          <w:i w:val="0"/>
          <w:sz w:val="21"/>
        </w:rPr>
        <w:t>Each ministry’s budget is a list of lines, one per project or activity. For each line: what was approved, what has been spent, what is committed but not yet paid, and what is left. The colour is a quick read — green has room, amber is close, red is over.</w:t>
      </w:r>
    </w:p>
    <w:p>
      <w:pPr>
        <w:spacing w:before="160" w:after="40"/>
        <w:jc w:val="center"/>
      </w:pPr>
      <w:r>
        <w:drawing>
          <wp:inline xmlns:a="http://schemas.openxmlformats.org/drawingml/2006/main" xmlns:pic="http://schemas.openxmlformats.org/drawingml/2006/picture">
            <wp:extent cx="5903999" cy="3473519"/>
            <wp:docPr id="5" name="Picture 5"/>
            <wp:cNvGraphicFramePr>
              <a:graphicFrameLocks noChangeAspect="1"/>
            </wp:cNvGraphicFramePr>
            <a:graphic>
              <a:graphicData uri="http://schemas.openxmlformats.org/drawingml/2006/picture">
                <pic:pic>
                  <pic:nvPicPr>
                    <pic:cNvPr id="0" name="fig05-12-budget.png"/>
                    <pic:cNvPicPr/>
                  </pic:nvPicPr>
                  <pic:blipFill>
                    <a:blip r:embed="rId13"/>
                    <a:stretch>
                      <a:fillRect/>
                    </a:stretch>
                  </pic:blipFill>
                  <pic:spPr>
                    <a:xfrm>
                      <a:off x="0" y="0"/>
                      <a:ext cx="5903999" cy="3473519"/>
                    </a:xfrm>
                    <a:prstGeom prst="rect"/>
                  </pic:spPr>
                </pic:pic>
              </a:graphicData>
            </a:graphic>
          </wp:inline>
        </w:drawing>
      </w:r>
    </w:p>
    <w:p>
      <w:pPr>
        <w:spacing w:after="200" w:line="283" w:lineRule="auto"/>
        <w:jc w:val="center"/>
      </w:pPr>
      <w:r>
        <w:rPr>
          <w:b w:val="0"/>
          <w:i/>
          <w:color w:val="6B7280"/>
          <w:sz w:val="18"/>
        </w:rPr>
        <w:t xml:space="preserve">One row per project. </w:t>
      </w:r>
      <w:r>
        <w:rPr>
          <w:b/>
          <w:i/>
          <w:color w:val="6B7280"/>
          <w:sz w:val="18"/>
        </w:rPr>
        <w:t>Balance</w:t>
      </w:r>
      <w:r>
        <w:rPr>
          <w:b w:val="0"/>
          <w:i/>
          <w:color w:val="6B7280"/>
          <w:sz w:val="18"/>
        </w:rPr>
        <w:t xml:space="preserve"> ignores what is committed; </w:t>
      </w:r>
      <w:r>
        <w:rPr>
          <w:b/>
          <w:i/>
          <w:color w:val="6B7280"/>
          <w:sz w:val="18"/>
        </w:rPr>
        <w:t>Available</w:t>
      </w:r>
      <w:r>
        <w:rPr>
          <w:b w:val="0"/>
          <w:i/>
          <w:color w:val="6B7280"/>
          <w:sz w:val="18"/>
        </w:rPr>
        <w:t xml:space="preserve"> subtracts it, which is the figure to use when deciding whether there is room for something new. Church planting here has RM1,250 left on paper and is RM550 short once the voucher already in the chain is counted. Every figure in this picture is invented.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 voucher is tied to a budget line by its project name.</w:t>
            </w:r>
            <w:r>
              <w:rPr>
                <w:b w:val="0"/>
                <w:i w:val="0"/>
                <w:sz w:val="20"/>
              </w:rPr>
              <w:t xml:space="preserve"> That is why the ministry and project on a claim matter: a claim with no project is spending the budget cannot see, and it will show as </w:t>
            </w:r>
            <w:r>
              <w:rPr>
                <w:b/>
                <w:i w:val="0"/>
                <w:sz w:val="20"/>
              </w:rPr>
              <w:t>Unbudgeted</w:t>
            </w:r>
            <w:r>
              <w:rPr>
                <w:b w:val="0"/>
                <w:i w:val="0"/>
                <w:sz w:val="20"/>
              </w:rPr>
              <w:t xml:space="preserve"> wherever it appears.</w:t>
            </w:r>
          </w:p>
        </w:tc>
      </w:tr>
    </w:tbl>
    <w:p>
      <w:pPr>
        <w:spacing w:after="80"/>
      </w:pPr>
    </w:p>
    <w:p>
      <w:pPr>
        <w:pStyle w:val="Heading1"/>
        <w:spacing w:before="440" w:after="120"/>
        <w:keepNext/>
      </w:pPr>
      <w:r>
        <w:rPr>
          <w:rFonts w:ascii="Segoe UI Semibold" w:hAnsi="Segoe UI Semibold"/>
          <w:color w:val="2F5B9C"/>
          <w:sz w:val="34"/>
        </w:rPr>
        <w:t>Approving a budget</w:t>
      </w:r>
    </w:p>
    <w:p>
      <w:pPr>
        <w:spacing w:after="200" w:line="283" w:lineRule="auto"/>
      </w:pPr>
      <w:r>
        <w:rPr>
          <w:b w:val="0"/>
          <w:i w:val="0"/>
          <w:color w:val="3A4A60"/>
          <w:sz w:val="24"/>
        </w:rPr>
        <w:t>A ministry’s proposed budget, and its requests to amend one during the year, come to the Treasurer.</w:t>
      </w:r>
    </w:p>
    <w:p>
      <w:pPr>
        <w:spacing w:after="120" w:line="283" w:lineRule="auto"/>
      </w:pPr>
      <w:r>
        <w:rPr>
          <w:b w:val="0"/>
          <w:i w:val="0"/>
          <w:sz w:val="21"/>
        </w:rPr>
        <w:t xml:space="preserve">Open </w:t>
      </w:r>
      <w:r>
        <w:rPr>
          <w:b/>
          <w:i w:val="0"/>
          <w:sz w:val="21"/>
        </w:rPr>
        <w:t>Budget</w:t>
      </w:r>
      <w:r>
        <w:rPr>
          <w:b w:val="0"/>
          <w:i w:val="0"/>
          <w:sz w:val="21"/>
        </w:rPr>
        <w:t>. Proposals waiting on a decision are listed at the top, whatever ministry they come from, so you do not have to go looking ministry by ministry.</w:t>
      </w:r>
    </w:p>
    <w:p>
      <w:pPr>
        <w:pStyle w:val="ListNumber"/>
        <w:numPr>
          <w:ilvl w:val="0"/>
          <w:numId w:val="13"/>
        </w:numPr>
        <w:spacing w:after="40"/>
      </w:pPr>
      <w:r>
        <w:rPr>
          <w:b/>
          <w:i w:val="0"/>
          <w:sz w:val="21"/>
        </w:rPr>
        <w:t>Read the lines and the papers attached to them.</w:t>
      </w:r>
    </w:p>
    <w:p>
      <w:pPr>
        <w:pStyle w:val="ListNumber"/>
        <w:spacing w:after="40"/>
      </w:pPr>
      <w:r>
        <w:rPr>
          <w:b/>
          <w:i w:val="0"/>
          <w:sz w:val="21"/>
        </w:rPr>
        <w:t>Approve the budget</w:t>
      </w:r>
      <w:r>
        <w:rPr>
          <w:b w:val="0"/>
          <w:i w:val="0"/>
          <w:sz w:val="21"/>
        </w:rPr>
        <w:t>, and it becomes the figures everybody else sees; or send it back with a reason, and the ministry revises it.</w:t>
      </w:r>
    </w:p>
    <w:p>
      <w:pPr>
        <w:spacing w:after="120" w:line="283" w:lineRule="auto"/>
      </w:pPr>
      <w:r>
        <w:rPr>
          <w:b w:val="0"/>
          <w:i w:val="0"/>
          <w:sz w:val="21"/>
        </w:rPr>
        <w:t>An amendment asked for mid-year works the same way, and says what is being changed and why. Until you approve it, the ministry’s page keeps showing the figures that were agreed — a request does not quietly become a budget.</w:t>
      </w: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numPr>
          <w:ilvl w:val="0"/>
          <w:numId w:val="14"/>
        </w:numP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6" name="Picture 6"/>
            <wp:cNvGraphicFramePr>
              <a:graphicFrameLocks noChangeAspect="1"/>
            </wp:cNvGraphicFramePr>
            <a:graphic>
              <a:graphicData uri="http://schemas.openxmlformats.org/drawingml/2006/picture">
                <pic:pic>
                  <pic:nvPicPr>
                    <pic:cNvPr id="0" name="fig06-03-request-desktop.png"/>
                    <pic:cNvPicPr/>
                  </pic:nvPicPr>
                  <pic:blipFill>
                    <a:blip r:embed="rId14"/>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keepNext/>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pPr>
        <w:pStyle w:val="Heading1"/>
        <w:spacing w:before="440" w:after="120"/>
        <w:keepNext/>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pPr>
        <w:pStyle w:val="Heading1"/>
        <w:spacing w:before="440" w:after="120"/>
        <w:keepNext/>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numPr>
          <w:ilvl w:val="0"/>
          <w:numId w:val="15"/>
        </w:numP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7" name="Picture 7"/>
            <wp:cNvGraphicFramePr>
              <a:graphicFrameLocks noChangeAspect="1"/>
            </wp:cNvGraphicFramePr>
            <a:graphic>
              <a:graphicData uri="http://schemas.openxmlformats.org/drawingml/2006/picture">
                <pic:pic>
                  <pic:nvPicPr>
                    <pic:cNvPr id="0" name="fig07-05-my-leave.png"/>
                    <pic:cNvPicPr/>
                  </pic:nvPicPr>
                  <pic:blipFill>
                    <a:blip r:embed="rId15"/>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keepNext/>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pPr>
        <w:pStyle w:val="Heading1"/>
        <w:spacing w:before="440" w:after="120"/>
        <w:keepNext/>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pPr>
        <w:pStyle w:val="Heading1"/>
        <w:spacing w:before="440" w:after="120"/>
        <w:keepNext/>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keepNext/>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keepNext/>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keepNext/>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Handbook</w:t>
            </w:r>
            <w:r>
              <w:rPr>
                <w:b w:val="0"/>
                <w:i w:val="0"/>
                <w:sz w:val="20"/>
              </w:rPr>
              <w:t xml:space="preserve"> describes everything — every role, every stage, the rules behind the approval limits — and the HQ office can send it to you.</w:t>
            </w:r>
          </w:p>
        </w:tc>
      </w:tr>
    </w:tbl>
    <w:p>
      <w:pPr>
        <w:spacing w:after="80"/>
      </w:pPr>
    </w:p>
    <w:p>
      <w:pPr>
        <w:spacing w:before="520" w:after="0"/>
      </w:pPr>
    </w:p>
    <w:p>
      <w:pPr>
        <w:spacing w:after="120" w:line="283" w:lineRule="auto"/>
      </w:pPr>
      <w:r>
        <w:rPr>
          <w:b w:val="0"/>
          <w:i w:val="0"/>
          <w:color w:val="6B7280"/>
          <w:sz w:val="18"/>
        </w:rPr>
        <w:t xml:space="preserve">Prepared for the Lutheran Church in Malaysia. This guide covers signing payment vouchers, and the budget line behind each one — the rest of the system is in the full </w:t>
      </w:r>
      <w:r>
        <w:rPr>
          <w:b/>
          <w:i w:val="0"/>
          <w:color w:val="6B7280"/>
          <w:sz w:val="18"/>
        </w:rPr>
        <w:t>LCM Finance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