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w:t>
      </w:r>
    </w:p>
    <w:p>
      <w:pPr>
        <w:spacing w:after="160" w:line="283" w:lineRule="auto"/>
      </w:pPr>
      <w:r>
        <w:rPr>
          <w:rFonts w:ascii="Segoe UI Semibold" w:hAnsi="Segoe UI Semibold"/>
          <w:b/>
          <w:i w:val="0"/>
          <w:color w:val="1C2738"/>
          <w:sz w:val="52"/>
        </w:rPr>
        <w:t>For the General Manager</w:t>
      </w:r>
    </w:p>
    <w:p>
      <w:pPr>
        <w:spacing w:after="320" w:line="283" w:lineRule="auto"/>
      </w:pPr>
      <w:r>
        <w:rPr>
          <w:b w:val="0"/>
          <w:i w:val="0"/>
          <w:color w:val="3A4A60"/>
          <w:sz w:val="23"/>
        </w:rPr>
        <w:t>Every payment passes you after Finance has reviewed it and before the signing officers see it, and every staff leave application starts with you.</w:t>
      </w:r>
    </w:p>
    <w:p>
      <w:pPr>
        <w:spacing w:after="80" w:line="283" w:lineRule="auto"/>
      </w:pPr>
      <w:r>
        <w:rPr>
          <w:b/>
          <w:i w:val="0"/>
          <w:color w:val="2F5B9C"/>
          <w:sz w:val="26"/>
        </w:rPr>
        <w:t>Contents</w:t>
      </w:r>
    </w:p>
    <w:p>
      <w:r/>
      <w:fldSimple w:instr="TOC \o &quot;1-2&quot; \h \z \u">
        <w:r>
          <w:t>Right-click here and choose Update Field to build the contents.</w:t>
        </w:r>
      </w:fldSimple>
    </w:p>
    <w:p>
      <w:pPr>
        <w:pStyle w:val="Heading1"/>
        <w:spacing w:before="440" w:after="120"/>
        <w:keepNext/>
      </w:pPr>
      <w:r>
        <w:rPr>
          <w:rFonts w:ascii="Segoe UI Semibold" w:hAnsi="Segoe UI Semibold"/>
          <w:color w:val="2F5B9C"/>
          <w:sz w:val="34"/>
        </w:rPr>
        <w:t>Getting in</w:t>
      </w:r>
    </w:p>
    <w:p>
      <w:pPr>
        <w:spacing w:after="200" w:line="283" w:lineRule="auto"/>
      </w:pPr>
      <w:r>
        <w:rPr>
          <w:b w:val="0"/>
          <w:i w:val="0"/>
          <w:color w:val="3A4A60"/>
          <w:sz w:val="24"/>
        </w:rPr>
        <w:t>There is no password to remember and none to lose. You sign in with a Google account, and the church decides which address that is.</w:t>
      </w:r>
    </w:p>
    <w:p>
      <w:pPr>
        <w:pStyle w:val="ListNumber"/>
        <w:numPr>
          <w:ilvl w:val="0"/>
          <w:numId w:val="10"/>
        </w:numPr>
        <w:spacing w:after="40"/>
      </w:pPr>
      <w:r>
        <w:rPr>
          <w:b/>
          <w:i w:val="0"/>
          <w:sz w:val="21"/>
        </w:rPr>
        <w:t>Go to the address below.</w:t>
      </w:r>
    </w:p>
    <w:p>
      <w:pPr>
        <w:spacing w:after="120"/>
        <w:ind w:left="510"/>
      </w:pPr>
      <w:r>
        <w:rPr>
          <w:b w:val="0"/>
          <w:i w:val="0"/>
          <w:color w:val="6B7280"/>
          <w:sz w:val="19"/>
        </w:rPr>
        <w:t>Any browser, on a phone or a computer. Bookmark it the first time and you will not have to type it again.</w:t>
      </w:r>
    </w:p>
    <w:p>
      <w:pPr>
        <w:pStyle w:val="ListNumbe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spacing w:before="160" w:after="40"/>
        <w:jc w:val="center"/>
      </w:pPr>
      <w:r>
        <w:drawing>
          <wp:inline xmlns:a="http://schemas.openxmlformats.org/drawingml/2006/main" xmlns:pic="http://schemas.openxmlformats.org/drawingml/2006/picture">
            <wp:extent cx="5903999" cy="374903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749039"/>
                    </a:xfrm>
                    <a:prstGeom prst="rect"/>
                  </pic:spPr>
                </pic:pic>
              </a:graphicData>
            </a:graphic>
          </wp:inline>
        </w:drawing>
      </w:r>
    </w:p>
    <w:p>
      <w:pPr>
        <w:spacing w:after="200" w:line="283" w:lineRule="auto"/>
        <w:jc w:val="center"/>
      </w:pPr>
      <w:r>
        <w:rPr>
          <w:b w:val="0"/>
          <w:i/>
          <w:color w:val="6B7280"/>
          <w:sz w:val="18"/>
        </w:rPr>
        <w:t xml:space="preserve">The sign-in screen. </w:t>
      </w:r>
      <w:r>
        <w:rPr>
          <w:b/>
          <w:i/>
          <w:color w:val="6B7280"/>
          <w:sz w:val="18"/>
        </w:rPr>
        <w:t>Sign in with Google</w:t>
      </w:r>
      <w:r>
        <w:rPr>
          <w:b w:val="0"/>
          <w:i/>
          <w:color w:val="6B7280"/>
          <w:sz w:val="18"/>
        </w:rPr>
        <w:t xml:space="preserve"> is the one to use.</w:t>
      </w: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Approving a payment</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xml:space="preserve">. The first tab, </w:t>
      </w:r>
      <w:r>
        <w:rPr>
          <w:b/>
          <w:i w:val="0"/>
          <w:color w:val="3A4A60"/>
          <w:sz w:val="24"/>
        </w:rPr>
        <w:t>Needs your approval</w:t>
      </w:r>
      <w:r>
        <w:rPr>
          <w:b w:val="0"/>
          <w:i w:val="0"/>
          <w:color w:val="3A4A60"/>
          <w:sz w:val="24"/>
        </w:rPr>
        <w:t>, is what the ministry has verified and Finance has reviewed, now waiting on you.</w:t>
      </w:r>
    </w:p>
    <w:p>
      <w:pPr>
        <w:pStyle w:val="ListNumber"/>
        <w:numPr>
          <w:ilvl w:val="0"/>
          <w:numId w:val="11"/>
        </w:numPr>
        <w:spacing w:after="40"/>
      </w:pPr>
      <w:r>
        <w:rPr>
          <w:b/>
          <w:i w:val="0"/>
          <w:sz w:val="21"/>
        </w:rPr>
        <w:t>Read what it is for</w:t>
      </w:r>
      <w:r>
        <w:rPr>
          <w:b w:val="0"/>
          <w:i w:val="0"/>
          <w:sz w:val="21"/>
        </w:rPr>
        <w:t>, and open the receipts if the purpose does not settle it.</w:t>
      </w:r>
    </w:p>
    <w:p>
      <w:pPr>
        <w:pStyle w:val="ListNumber"/>
        <w:spacing w:after="40"/>
      </w:pPr>
      <w:r>
        <w:rPr>
          <w:b/>
          <w:i w:val="0"/>
          <w:sz w:val="21"/>
        </w:rPr>
        <w:t>Check the budget line.</w:t>
      </w:r>
      <w:r>
        <w:rPr>
          <w:b w:val="0"/>
          <w:i w:val="0"/>
          <w:sz w:val="21"/>
        </w:rPr>
        <w:t xml:space="preserve"> Tap the budget chip to see the line it comes out of, what remains on it, and what would be left after this payment.</w:t>
      </w:r>
    </w:p>
    <w:p>
      <w:pPr>
        <w:pStyle w:val="ListNumber"/>
        <w:spacing w:after="40"/>
      </w:pPr>
      <w:r>
        <w:rPr>
          <w:b/>
          <w:i w:val="0"/>
          <w:sz w:val="21"/>
        </w:rPr>
        <w:t>Approve, and it goes to the signing officers.</w:t>
      </w:r>
      <w:r>
        <w:rPr>
          <w:b w:val="0"/>
          <w:i w:val="0"/>
          <w:sz w:val="21"/>
        </w:rPr>
        <w:t xml:space="preserve"> Reject, and it goes back with your reason.</w:t>
      </w:r>
    </w:p>
    <w:p>
      <w:pPr>
        <w:spacing w:after="120" w:line="283" w:lineRule="auto"/>
      </w:pPr>
      <w:r>
        <w:rPr>
          <w:b w:val="0"/>
          <w:i w:val="0"/>
          <w:sz w:val="21"/>
        </w:rPr>
        <w:t xml:space="preserve">The second tab, </w:t>
      </w:r>
      <w:r>
        <w:rPr>
          <w:b/>
          <w:i w:val="0"/>
          <w:sz w:val="21"/>
        </w:rPr>
        <w:t>With the signatories</w:t>
      </w:r>
      <w:r>
        <w:rPr>
          <w:b w:val="0"/>
          <w:i w:val="0"/>
          <w:sz w:val="21"/>
        </w:rPr>
        <w:t>, is what you have already approved and which is now waiting on the Bishop, Treasurer or Secretary. It is there so you can answer “where is my claim?” without asking anybody.</w:t>
      </w:r>
    </w:p>
    <w:p>
      <w:pPr>
        <w:pStyle w:val="Heading2"/>
        <w:spacing w:before="240" w:after="120"/>
        <w:keepNext/>
      </w:pPr>
      <w:r>
        <w:rPr>
          <w:rFonts w:ascii="Segoe UI Semibold" w:hAnsi="Segoe UI Semibold"/>
          <w:color w:val="1C2738"/>
          <w:sz w:val="25"/>
        </w:rPr>
        <w:t>Claims brought to you directly</w:t>
      </w:r>
    </w:p>
    <w:p>
      <w:pPr>
        <w:spacing w:after="120" w:line="283" w:lineRule="auto"/>
      </w:pPr>
      <w:r>
        <w:rPr>
          <w:b w:val="0"/>
          <w:i w:val="0"/>
          <w:sz w:val="21"/>
        </w:rPr>
        <w:t xml:space="preserve">When somebody brings you a claim outside the system — a letter, a conversation, an invoice handed over — record it under </w:t>
      </w:r>
      <w:r>
        <w:rPr>
          <w:b/>
          <w:i w:val="0"/>
          <w:sz w:val="21"/>
        </w:rPr>
        <w:t>Approvals</w:t>
      </w:r>
      <w:r>
        <w:rPr>
          <w:b w:val="0"/>
          <w:i w:val="0"/>
          <w:sz w:val="21"/>
        </w:rPr>
        <w:t xml:space="preserve"> → </w:t>
      </w:r>
      <w:r>
        <w:rPr>
          <w:b/>
          <w:i w:val="0"/>
          <w:sz w:val="21"/>
        </w:rPr>
        <w:t>GM Claims</w:t>
      </w:r>
      <w:r>
        <w:rPr>
          <w:b w:val="0"/>
          <w:i w:val="0"/>
          <w:sz w:val="21"/>
        </w:rPr>
        <w:t>. Finance picks it up from there and raises the voucher, and the trail starts from your instruction rather than from nothing.</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3" name="Picture 3"/>
            <wp:cNvGraphicFramePr>
              <a:graphicFrameLocks noChangeAspect="1"/>
            </wp:cNvGraphicFramePr>
            <a:graphic>
              <a:graphicData uri="http://schemas.openxmlformats.org/drawingml/2006/picture">
                <pic:pic>
                  <pic:nvPicPr>
                    <pic:cNvPr id="0" name="fig03-07-leave-queue.png"/>
                    <pic:cNvPicPr/>
                  </pic:nvPicPr>
                  <pic:blipFill>
                    <a:blip r:embed="rId11"/>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2"/>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4" name="Picture 4"/>
            <wp:cNvGraphicFramePr>
              <a:graphicFrameLocks noChangeAspect="1"/>
            </wp:cNvGraphicFramePr>
            <a:graphic>
              <a:graphicData uri="http://schemas.openxmlformats.org/drawingml/2006/picture">
                <pic:pic>
                  <pic:nvPicPr>
                    <pic:cNvPr id="0" name="fig04-12-budget.png"/>
                    <pic:cNvPicPr/>
                  </pic:nvPicPr>
                  <pic:blipFill>
                    <a:blip r:embed="rId12"/>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Approving a budget</w:t>
      </w:r>
    </w:p>
    <w:p>
      <w:pPr>
        <w:spacing w:after="200" w:line="283" w:lineRule="auto"/>
      </w:pPr>
      <w:r>
        <w:rPr>
          <w:b w:val="0"/>
          <w:i w:val="0"/>
          <w:color w:val="3A4A60"/>
          <w:sz w:val="24"/>
        </w:rPr>
        <w:t>A ministry’s proposed budget, and its requests to amend one during the year, come to the Treasurer.</w:t>
      </w:r>
    </w:p>
    <w:p>
      <w:pPr>
        <w:spacing w:after="120" w:line="283" w:lineRule="auto"/>
      </w:pPr>
      <w:r>
        <w:rPr>
          <w:b w:val="0"/>
          <w:i w:val="0"/>
          <w:sz w:val="21"/>
        </w:rPr>
        <w:t xml:space="preserve">Open </w:t>
      </w:r>
      <w:r>
        <w:rPr>
          <w:b/>
          <w:i w:val="0"/>
          <w:sz w:val="21"/>
        </w:rPr>
        <w:t>Budget</w:t>
      </w:r>
      <w:r>
        <w:rPr>
          <w:b w:val="0"/>
          <w:i w:val="0"/>
          <w:sz w:val="21"/>
        </w:rPr>
        <w:t>. Proposals waiting on a decision are listed at the top, whatever ministry they come from, so you do not have to go looking ministry by ministry.</w:t>
      </w:r>
    </w:p>
    <w:p>
      <w:pPr>
        <w:pStyle w:val="ListNumber"/>
        <w:numPr>
          <w:ilvl w:val="0"/>
          <w:numId w:val="13"/>
        </w:numPr>
        <w:spacing w:after="40"/>
      </w:pPr>
      <w:r>
        <w:rPr>
          <w:b/>
          <w:i w:val="0"/>
          <w:sz w:val="21"/>
        </w:rPr>
        <w:t>Read the lines and the papers attached to them.</w:t>
      </w:r>
    </w:p>
    <w:p>
      <w:pPr>
        <w:pStyle w:val="ListNumber"/>
        <w:spacing w:after="40"/>
      </w:pPr>
      <w:r>
        <w:rPr>
          <w:b/>
          <w:i w:val="0"/>
          <w:sz w:val="21"/>
        </w:rPr>
        <w:t>Approve the budget</w:t>
      </w:r>
      <w:r>
        <w:rPr>
          <w:b w:val="0"/>
          <w:i w:val="0"/>
          <w:sz w:val="21"/>
        </w:rPr>
        <w:t>, and it becomes the figures everybody else sees; or send it back with a reason, and the ministry revises it.</w:t>
      </w:r>
    </w:p>
    <w:p>
      <w:pPr>
        <w:spacing w:after="120" w:line="283" w:lineRule="auto"/>
      </w:pPr>
      <w:r>
        <w:rPr>
          <w:b w:val="0"/>
          <w:i w:val="0"/>
          <w:sz w:val="21"/>
        </w:rPr>
        <w:t>An amendment asked for mid-year works the same way, and says what is being changed and why. Until you approve it, the ministry’s page keeps showing the figures that were agreed — a request does not quietly become a budget.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4"/>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5" name="Picture 5"/>
            <wp:cNvGraphicFramePr>
              <a:graphicFrameLocks noChangeAspect="1"/>
            </wp:cNvGraphicFramePr>
            <a:graphic>
              <a:graphicData uri="http://schemas.openxmlformats.org/drawingml/2006/picture">
                <pic:pic>
                  <pic:nvPicPr>
                    <pic:cNvPr id="0" name="fig05-03-request-desktop.png"/>
                    <pic:cNvPicPr/>
                  </pic:nvPicPr>
                  <pic:blipFill>
                    <a:blip r:embed="rId13"/>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5"/>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verifying payments, approving leave, and the whole church’s budget — the rest of the system is in the full </w:t>
      </w:r>
      <w:r>
        <w:rPr>
          <w:b/>
          <w:i w:val="0"/>
          <w:color w:val="6B7280"/>
          <w:sz w:val="18"/>
        </w:rPr>
        <w:t>LCM Finance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