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Pastor</w:t>
      </w:r>
    </w:p>
    <w:p>
      <w:pPr>
        <w:spacing w:after="320" w:line="283" w:lineRule="auto"/>
      </w:pPr>
      <w:r>
        <w:rPr>
          <w:b w:val="0"/>
          <w:i w:val="0"/>
          <w:color w:val="3A4A60"/>
          <w:sz w:val="23"/>
        </w:rPr>
        <w:t>Claiming back what you have spent, applying for leave, and — if you are a Pastor in Charge or a Dean — signing the leave of the pastors who report to you.</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1"/>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claiming money back, applying for leave, and approving leave for the pastors under you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