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a Signing Officer</w:t>
      </w:r>
    </w:p>
    <w:p>
      <w:pPr>
        <w:spacing w:after="320" w:line="283" w:lineRule="auto"/>
      </w:pPr>
      <w:r>
        <w:rPr>
          <w:b w:val="0"/>
          <w:i w:val="0"/>
          <w:color w:val="3A4A60"/>
          <w:sz w:val="23"/>
        </w:rPr>
        <w:t>Bishop, Treasurer or Secretary. A voucher reaches you once the ministry has verified it, Finance has reviewed it and the General Manager has approved it — so what is in front of you is only ever waiting on your signature.</w:t>
      </w:r>
    </w:p>
    <w:p>
      <w:pPr>
        <w:spacing w:after="80" w:line="283" w:lineRule="auto"/>
      </w:pPr>
      <w:r>
        <w:rPr>
          <w:b/>
          <w:i w:val="0"/>
          <w:color w:val="2F5B9C"/>
          <w:sz w:val="26"/>
        </w:rPr>
        <w:t>Contents</w:t>
      </w:r>
    </w:p>
    <w:p>
      <w:r/>
      <w:fldSimple w:instr="TOC \o &quot;1-2&quot; \h \z \u">
        <w:r>
          <w:t>Right-click here and choose Update Field to build the contents.</w:t>
        </w:r>
      </w:fldSimple>
    </w:p>
    <w:p>
      <w:pPr>
        <w:pStyle w:val="Heading1"/>
        <w:spacing w:before="440" w:after="120"/>
        <w:keepNext/>
      </w:pPr>
      <w:r>
        <w:rPr>
          <w:rFonts w:ascii="Segoe UI Semibold" w:hAnsi="Segoe UI Semibold"/>
          <w:color w:val="2F5B9C"/>
          <w:sz w:val="34"/>
        </w:rPr>
        <w:t>Getting in</w:t>
      </w:r>
    </w:p>
    <w:p>
      <w:pPr>
        <w:spacing w:after="200" w:line="283" w:lineRule="auto"/>
      </w:pPr>
      <w:r>
        <w:rPr>
          <w:b w:val="0"/>
          <w:i w:val="0"/>
          <w:color w:val="3A4A60"/>
          <w:sz w:val="24"/>
        </w:rPr>
        <w:t>There is no password to remember and none to lose. You sign in with a Google account, and the church decides which address that is.</w:t>
      </w:r>
    </w:p>
    <w:p>
      <w:pPr>
        <w:pStyle w:val="ListNumber"/>
        <w:numPr>
          <w:ilvl w:val="0"/>
          <w:numId w:val="10"/>
        </w:numPr>
        <w:spacing w:after="40"/>
      </w:pPr>
      <w:r>
        <w:rPr>
          <w:b/>
          <w:i w:val="0"/>
          <w:sz w:val="21"/>
        </w:rPr>
        <w:t>Go to the address below.</w:t>
      </w:r>
    </w:p>
    <w:p>
      <w:pPr>
        <w:spacing w:after="120"/>
        <w:ind w:left="510"/>
      </w:pPr>
      <w:r>
        <w:rPr>
          <w:b w:val="0"/>
          <w:i w:val="0"/>
          <w:color w:val="6B7280"/>
          <w:sz w:val="19"/>
        </w:rPr>
        <w:t>Any browser, on a phone or a computer. Bookmark it the first time and you will not have to type it again.</w:t>
      </w:r>
    </w:p>
    <w:p>
      <w:pPr>
        <w:pStyle w:val="ListNumbe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t>
      </w:r>
      <w:r>
        <w:rPr>
          <w:b/>
          <w:i/>
          <w:color w:val="6B7280"/>
          <w:sz w:val="18"/>
        </w:rPr>
        <w:t>Sign in with Google</w:t>
      </w:r>
      <w:r>
        <w:rPr>
          <w:b w:val="0"/>
          <w:i/>
          <w:color w:val="6B7280"/>
          <w:sz w:val="18"/>
        </w:rPr>
        <w:t xml:space="preserve"> is the one to use.</w:t>
      </w: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Signing a voucher</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at the top of the left-hand list. What is there is waiting on your signature and nothing else.</w:t>
      </w:r>
    </w:p>
    <w:p>
      <w:pPr>
        <w:spacing w:after="120" w:line="283" w:lineRule="auto"/>
      </w:pPr>
      <w:r>
        <w:rPr>
          <w:b w:val="0"/>
          <w:i w:val="0"/>
          <w:sz w:val="21"/>
        </w:rPr>
        <w:t>You will not see a voucher that is still with the ministry, with Finance or with the General Manager. By the time one reaches you it has been verified by the EXCO, reviewed by Finance and approved by the General Manager — and the voucher itself shows you each of those, with the name and the date.</w:t>
      </w:r>
    </w:p>
    <w:p>
      <w:pPr>
        <w:spacing w:before="160" w:after="40"/>
        <w:jc w:val="center"/>
      </w:pPr>
      <w:r>
        <w:drawing>
          <wp:inline xmlns:a="http://schemas.openxmlformats.org/drawingml/2006/main" xmlns:pic="http://schemas.openxmlformats.org/drawingml/2006/picture">
            <wp:extent cx="5903999" cy="4565759"/>
            <wp:docPr id="3" name="Picture 3"/>
            <wp:cNvGraphicFramePr>
              <a:graphicFrameLocks noChangeAspect="1"/>
            </wp:cNvGraphicFramePr>
            <a:graphic>
              <a:graphicData uri="http://schemas.openxmlformats.org/drawingml/2006/picture">
                <pic:pic>
                  <pic:nvPicPr>
                    <pic:cNvPr id="0" name="fig03-11-signatory-queue.png"/>
                    <pic:cNvPicPr/>
                  </pic:nvPicPr>
                  <pic:blipFill>
                    <a:blip r:embed="rId11"/>
                    <a:stretch>
                      <a:fillRect/>
                    </a:stretch>
                  </pic:blipFill>
                  <pic:spPr>
                    <a:xfrm>
                      <a:off x="0" y="0"/>
                      <a:ext cx="5903999" cy="4565759"/>
                    </a:xfrm>
                    <a:prstGeom prst="rect"/>
                  </pic:spPr>
                </pic:pic>
              </a:graphicData>
            </a:graphic>
          </wp:inline>
        </w:drawing>
      </w:r>
    </w:p>
    <w:p>
      <w:pPr>
        <w:spacing w:after="200" w:line="283" w:lineRule="auto"/>
        <w:jc w:val="center"/>
      </w:pPr>
      <w:r>
        <w:rPr>
          <w:b w:val="0"/>
          <w:i/>
          <w:color w:val="6B7280"/>
          <w:sz w:val="18"/>
        </w:rPr>
        <w:t>Four tabs, each with a count. The band across the top says how far a voucher has come and what is left — here, step 3 of 4. Everyone in this picture is invented.</w:t>
      </w:r>
    </w:p>
    <w:p>
      <w:pPr>
        <w:pStyle w:val="ListNumber"/>
        <w:numPr>
          <w:ilvl w:val="0"/>
          <w:numId w:val="11"/>
        </w:numPr>
        <w:spacing w:after="40"/>
      </w:pPr>
      <w:r>
        <w:rPr>
          <w:b/>
          <w:i w:val="0"/>
          <w:sz w:val="21"/>
        </w:rPr>
        <w:t>Read the purpose and the amount</w:t>
      </w:r>
      <w:r>
        <w:rPr>
          <w:b w:val="0"/>
          <w:i w:val="0"/>
          <w:sz w:val="21"/>
        </w:rPr>
        <w:t xml:space="preserve">, and open the receipts with the </w:t>
      </w:r>
      <w:r>
        <w:rPr>
          <w:b/>
          <w:i w:val="0"/>
          <w:sz w:val="21"/>
        </w:rPr>
        <w:t>Docs</w:t>
      </w:r>
      <w:r>
        <w:rPr>
          <w:b w:val="0"/>
          <w:i w:val="0"/>
          <w:sz w:val="21"/>
        </w:rPr>
        <w:t xml:space="preserve"> button if you want to see them.</w:t>
      </w:r>
    </w:p>
    <w:p>
      <w:pPr>
        <w:pStyle w:val="ListNumber"/>
        <w:spacing w:after="40"/>
      </w:pPr>
      <w:r>
        <w:rPr>
          <w:b/>
          <w:i w:val="0"/>
          <w:sz w:val="21"/>
        </w:rPr>
        <w:t>Check the budget.</w:t>
      </w:r>
      <w:r>
        <w:rPr>
          <w:b w:val="0"/>
          <w:i w:val="0"/>
          <w:sz w:val="21"/>
        </w:rPr>
        <w:t xml:space="preserve"> The green or amber chip says whether it fits — </w:t>
      </w:r>
      <w:r>
        <w:rPr>
          <w:b w:val="0"/>
          <w:i/>
          <w:sz w:val="21"/>
        </w:rPr>
        <w:t>tap it</w:t>
      </w:r>
      <w:r>
        <w:rPr>
          <w:b w:val="0"/>
          <w:i w:val="0"/>
          <w:sz w:val="21"/>
        </w:rPr>
        <w:t xml:space="preserve"> and it opens, naming the exact budget line and showing what is approved, what is spent, what is committed and what would be left if you sign.</w:t>
      </w:r>
    </w:p>
    <w:p>
      <w:pPr>
        <w:pStyle w:val="ListNumber"/>
        <w:spacing w:after="40"/>
      </w:pPr>
      <w:r>
        <w:rPr>
          <w:b/>
          <w:i w:val="0"/>
          <w:sz w:val="21"/>
        </w:rPr>
        <w:t>Approve or reject.</w:t>
      </w:r>
      <w:r>
        <w:rPr>
          <w:b w:val="0"/>
          <w:i w:val="0"/>
          <w:sz w:val="21"/>
        </w:rPr>
        <w:t xml:space="preserve"> Both ask for your PIN. A rejection asks for a reason, which goes back to whoever raised it.</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Up to RM30,000 the Treasurer alone is enough. Above that it takes two officers, any two of the Bishop, the Secretary and the Treasurer. The voucher tells you which it is and how many signatures it already has.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signs their own payment.</w:t>
            </w:r>
            <w:r>
              <w:rPr>
                <w:b w:val="0"/>
                <w:i w:val="0"/>
                <w:sz w:val="20"/>
              </w:rPr>
              <w:t xml:space="preserve"> If a voucher pays you, or you were the one who raised it, the app will not offer you the buttons — another officer signs it instead. That is not a fault.</w:t>
            </w:r>
          </w:p>
        </w:tc>
      </w:tr>
    </w:tbl>
    <w:p>
      <w:pPr>
        <w:spacing w:after="80"/>
      </w:pPr>
    </w:p>
    <w:p>
      <w:pPr>
        <w:pStyle w:val="Heading2"/>
        <w:spacing w:before="240" w:after="120"/>
        <w:keepNext/>
      </w:pPr>
      <w:r>
        <w:rPr>
          <w:rFonts w:ascii="Segoe UI Semibold" w:hAnsi="Segoe UI Semibold"/>
          <w:color w:val="1C2738"/>
          <w:sz w:val="25"/>
        </w:rPr>
        <w:t>Your PIN</w:t>
      </w:r>
    </w:p>
    <w:p>
      <w:pPr>
        <w:spacing w:after="120" w:line="283" w:lineRule="auto"/>
      </w:pPr>
      <w:r>
        <w:rPr>
          <w:b w:val="0"/>
          <w:i w:val="0"/>
          <w:sz w:val="21"/>
        </w:rPr>
        <w:t xml:space="preserve">Signing asks for a four-digit PIN that is yours alone. Set it, or change it, from </w:t>
      </w:r>
      <w:r>
        <w:rPr>
          <w:b/>
          <w:i w:val="0"/>
          <w:sz w:val="21"/>
        </w:rPr>
        <w:t>Change my PIN</w:t>
      </w:r>
      <w:r>
        <w:rPr>
          <w:b w:val="0"/>
          <w:i w:val="0"/>
          <w:sz w:val="21"/>
        </w:rPr>
        <w:t xml:space="preserve"> at the top right of the same page. It is deliberately separate from how you sign in: signing in says who you are, and the PIN says you meant it.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4" name="Picture 4"/>
            <wp:cNvGraphicFramePr>
              <a:graphicFrameLocks noChangeAspect="1"/>
            </wp:cNvGraphicFramePr>
            <a:graphic>
              <a:graphicData uri="http://schemas.openxmlformats.org/drawingml/2006/picture">
                <pic:pic>
                  <pic:nvPicPr>
                    <pic:cNvPr id="0" name="fig04-07-leave-queue.png"/>
                    <pic:cNvPicPr/>
                  </pic:nvPicPr>
                  <pic:blipFill>
                    <a:blip r:embed="rId12"/>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5" name="Picture 5"/>
            <wp:cNvGraphicFramePr>
              <a:graphicFrameLocks noChangeAspect="1"/>
            </wp:cNvGraphicFramePr>
            <a:graphic>
              <a:graphicData uri="http://schemas.openxmlformats.org/drawingml/2006/picture">
                <pic:pic>
                  <pic:nvPicPr>
                    <pic:cNvPr id="0" name="fig05-12-budget.png"/>
                    <pic:cNvPicPr/>
                  </pic:nvPicPr>
                  <pic:blipFill>
                    <a:blip r:embed="rId13"/>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A ministry’s proposed budget, and its requests to amend one during the year, come to the Treasurer.</w:t>
      </w:r>
    </w:p>
    <w:p>
      <w:pPr>
        <w:spacing w:after="120" w:line="283" w:lineRule="auto"/>
      </w:pPr>
      <w:r>
        <w:rPr>
          <w:b w:val="0"/>
          <w:i w:val="0"/>
          <w:sz w:val="21"/>
        </w:rPr>
        <w:t xml:space="preserve">Open </w:t>
      </w:r>
      <w:r>
        <w:rPr>
          <w:b/>
          <w:i w:val="0"/>
          <w:sz w:val="21"/>
        </w:rPr>
        <w:t>Budget</w:t>
      </w:r>
      <w:r>
        <w:rPr>
          <w:b w:val="0"/>
          <w:i w:val="0"/>
          <w:sz w:val="21"/>
        </w:rPr>
        <w:t>. Proposals waiting on a decision are listed at the top, whatever ministry they come from, so you do not have to go looking ministry by ministry.</w:t>
      </w:r>
    </w:p>
    <w:p>
      <w:pPr>
        <w:pStyle w:val="ListNumber"/>
        <w:numPr>
          <w:ilvl w:val="0"/>
          <w:numId w:val="13"/>
        </w:numPr>
        <w:spacing w:after="40"/>
      </w:pPr>
      <w:r>
        <w:rPr>
          <w:b/>
          <w:i w:val="0"/>
          <w:sz w:val="21"/>
        </w:rPr>
        <w:t>Read the lines and the papers attached to them.</w:t>
      </w:r>
    </w:p>
    <w:p>
      <w:pPr>
        <w:pStyle w:val="ListNumber"/>
        <w:spacing w:after="40"/>
      </w:pPr>
      <w:r>
        <w:rPr>
          <w:b/>
          <w:i w:val="0"/>
          <w:sz w:val="21"/>
        </w:rPr>
        <w:t>Approve the budget</w:t>
      </w:r>
      <w:r>
        <w:rPr>
          <w:b w:val="0"/>
          <w:i w:val="0"/>
          <w:sz w:val="21"/>
        </w:rPr>
        <w:t>, and it becomes the figures everybody else sees; or send it back with a reason, and the ministry revises it.</w:t>
      </w:r>
    </w:p>
    <w:p>
      <w:pPr>
        <w:spacing w:after="120" w:line="283" w:lineRule="auto"/>
      </w:pPr>
      <w:r>
        <w:rPr>
          <w:b w:val="0"/>
          <w:i w:val="0"/>
          <w:sz w:val="21"/>
        </w:rPr>
        <w:t>An amendment asked for mid-year works the same way, and says what is being changed and why. Until you approve it, the ministry’s page keeps showing the figures that were agreed —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6" name="Picture 6"/>
            <wp:cNvGraphicFramePr>
              <a:graphicFrameLocks noChangeAspect="1"/>
            </wp:cNvGraphicFramePr>
            <a:graphic>
              <a:graphicData uri="http://schemas.openxmlformats.org/drawingml/2006/picture">
                <pic:pic>
                  <pic:nvPicPr>
                    <pic:cNvPr id="0" name="fig06-03-request-desktop.png"/>
                    <pic:cNvPicPr/>
                  </pic:nvPicPr>
                  <pic:blipFill>
                    <a:blip r:embed="rId14"/>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7" name="Picture 7"/>
            <wp:cNvGraphicFramePr>
              <a:graphicFrameLocks noChangeAspect="1"/>
            </wp:cNvGraphicFramePr>
            <a:graphic>
              <a:graphicData uri="http://schemas.openxmlformats.org/drawingml/2006/picture">
                <pic:pic>
                  <pic:nvPicPr>
                    <pic:cNvPr id="0" name="fig07-05-my-leave.png"/>
                    <pic:cNvPicPr/>
                  </pic:nvPicPr>
                  <pic:blipFill>
                    <a:blip r:embed="rId15"/>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signing payment vouchers, and the budget line behind each one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