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General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numPr>
          <w:ilvl w:val="0"/>
          <w:numId w:val="11"/>
        </w:numP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keepNext/>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w:t>
      </w:r>
    </w:p>
    <w:p>
      <w:pPr>
        <w:spacing w:after="120"/>
        <w:ind w:left="510"/>
      </w:pPr>
      <w:r>
        <w:rPr>
          <w:b w:val="0"/>
          <w:i w:val="0"/>
          <w:color w:val="6B7280"/>
          <w:sz w:val="19"/>
        </w:rPr>
        <w:t>Approving asks for the meeting’s resolution and its date, and will not go through without them. It then makes the lines live. Sending one back asks for the same two things, because that is the meeting’s decision as well. It unlocks the budget so the ministry can revise it before the next meeting, and your reason is what they are given to work from.</w:t>
      </w:r>
    </w:p>
    <w:p>
      <w:pPr>
        <w:spacing w:after="120" w:line="283" w:lineRule="auto"/>
      </w:pPr>
      <w:r>
        <w:rPr>
          <w:b w:val="0"/>
          <w:i w:val="0"/>
          <w:sz w:val="21"/>
        </w:rPr>
        <w:t>Once recorded, the resolution is shown beside the ministry and year at the head of the budget, so anybody reading the figures can see which meeting made them the budget.</w:t>
      </w:r>
    </w:p>
    <w:p>
      <w:pPr>
        <w:pStyle w:val="Heading2"/>
        <w:spacing w:before="240" w:after="120"/>
        <w:keepNext/>
      </w:pPr>
      <w:r>
        <w:rPr>
          <w:rFonts w:ascii="Segoe UI Semibold" w:hAnsi="Segoe UI Semibold"/>
          <w:color w:val="1C2738"/>
          <w:sz w:val="25"/>
        </w:rPr>
        <w:t>Changes asked for during the year</w:t>
      </w:r>
    </w:p>
    <w:p>
      <w:pPr>
        <w:spacing w:after="120" w:line="283" w:lineRule="auto"/>
      </w:pPr>
      <w:r>
        <w:rPr>
          <w:b w:val="0"/>
          <w:i w:val="0"/>
          <w:sz w:val="21"/>
        </w:rPr>
        <w:t>Once a budget is live a ministry cannot edit it, so a change arrives as a request saying what is being changed and why. A change to an approved budget changes what the EXCO approved, so it is decided the same way and recorded the same way: approving or declining one asks for the meeting’s resolution and date, exactly as the budget itself does. Approving applies it to the budget there and then.</w:t>
      </w:r>
    </w:p>
    <w:p>
      <w:pPr>
        <w:spacing w:after="120" w:line="283" w:lineRule="auto"/>
      </w:pPr>
      <w:r>
        <w:rPr>
          <w:b w:val="0"/>
          <w:i w:val="0"/>
          <w:sz w:val="21"/>
        </w:rPr>
        <w:t>Until it is decided, the ministry’s page keeps showing the figures that were actually agreed.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