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 · LCM FINANCE &amp; HR</w:t>
      </w:r>
    </w:p>
    <w:p>
      <w:pPr>
        <w:spacing w:after="160" w:line="283" w:lineRule="auto"/>
      </w:pPr>
      <w:r>
        <w:rPr>
          <w:rFonts w:ascii="Segoe UI Semibold" w:hAnsi="Segoe UI Semibold"/>
          <w:b/>
          <w:i w:val="0"/>
          <w:color w:val="1C2738"/>
          <w:sz w:val="52"/>
        </w:rPr>
        <w:t>For a Signing Officer</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your approvals are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If the app looks emptier than this guide describes</w:t>
      </w:r>
    </w:p>
    <w:p>
      <w:pPr>
        <w:spacing w:after="120" w:line="283" w:lineRule="auto"/>
      </w:pPr>
      <w:r>
        <w:rPr>
          <w:b w:val="0"/>
          <w:i w:val="0"/>
          <w:sz w:val="21"/>
        </w:rPr>
        <w:t>Your role has not been set yet. Signing in gets you through the door; what you may do once inside is recorded by the HQ office, usually the same day. Ask them to set it, then sign in again.</w:t>
      </w:r>
    </w:p>
    <w:p>
      <w:pPr>
        <w:pStyle w:val="Heading1"/>
        <w:spacing w:before="440" w:after="120"/>
        <w:keepNext/>
      </w:pPr>
      <w:r>
        <w:rPr>
          <w:rFonts w:ascii="Segoe UI Semibold" w:hAnsi="Segoe UI Semibold"/>
          <w:color w:val="2F5B9C"/>
          <w:sz w:val="34"/>
        </w:rPr>
        <w:t>Finding your way</w:t>
      </w:r>
    </w:p>
    <w:p>
      <w:pPr>
        <w:spacing w:after="200" w:line="283" w:lineRule="auto"/>
      </w:pPr>
      <w:r>
        <w:rPr>
          <w:b w:val="0"/>
          <w:i w:val="0"/>
          <w:color w:val="3A4A60"/>
          <w:sz w:val="24"/>
        </w:rPr>
        <w:t>Everything is reached from the list down the left. On a phone it is behind the menu button at the top.</w:t>
      </w:r>
    </w:p>
    <w:p>
      <w:pPr>
        <w:spacing w:after="120" w:line="283" w:lineRule="auto"/>
      </w:pPr>
      <w:r>
        <w:rPr>
          <w:b w:val="0"/>
          <w:i w:val="0"/>
          <w:sz w:val="21"/>
        </w:rPr>
        <w:t>The few things you do most often sit at the top of that list, not nested inside anything, so they are one tap from wherever you are. Everything else is grouped: open a group and its pages appear underneath it.</w:t>
      </w:r>
    </w:p>
    <w:p>
      <w:pPr>
        <w:spacing w:before="160" w:after="40"/>
        <w:jc w:val="center"/>
      </w:pPr>
      <w:r>
        <w:drawing>
          <wp:inline xmlns:a="http://schemas.openxmlformats.org/drawingml/2006/main" xmlns:pic="http://schemas.openxmlformats.org/drawingml/2006/picture">
            <wp:extent cx="2367272" cy="5579998"/>
            <wp:docPr id="2" name="Picture 2"/>
            <wp:cNvGraphicFramePr>
              <a:graphicFrameLocks noChangeAspect="1"/>
            </wp:cNvGraphicFramePr>
            <a:graphic>
              <a:graphicData uri="http://schemas.openxmlformats.org/drawingml/2006/picture">
                <pic:pic>
                  <pic:nvPicPr>
                    <pic:cNvPr id="0" name="fig02-10-sidebar.png"/>
                    <pic:cNvPicPr/>
                  </pic:nvPicPr>
                  <pic:blipFill>
                    <a:blip r:embed="rId10"/>
                    <a:stretch>
                      <a:fillRect/>
                    </a:stretch>
                  </pic:blipFill>
                  <pic:spPr>
                    <a:xfrm>
                      <a:off x="0" y="0"/>
                      <a:ext cx="2367272" cy="5579998"/>
                    </a:xfrm>
                    <a:prstGeom prst="rect"/>
                  </pic:spPr>
                </pic:pic>
              </a:graphicData>
            </a:graphic>
          </wp:inline>
        </w:drawing>
      </w:r>
    </w:p>
    <w:p>
      <w:pPr>
        <w:spacing w:after="200" w:line="283" w:lineRule="auto"/>
        <w:jc w:val="center"/>
      </w:pPr>
      <w:r>
        <w:rPr>
          <w:b w:val="0"/>
          <w:i/>
          <w:color w:val="6B7280"/>
          <w:sz w:val="18"/>
        </w:rPr>
        <w:t>You will not see every group in this picture. The list is built from what your role may do, so what is missing is simply not yours.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name is at the foot of that list</w:t>
            </w:r>
            <w:r>
              <w:rPr>
                <w:b w:val="0"/>
                <w:i w:val="0"/>
                <w:sz w:val="20"/>
              </w:rPr>
              <w:t>, with your role under it. If the role shown there is wrong, nothing else in the app will behave the way this guide describes — check it first, and ask the HQ office to correct it.</w:t>
            </w:r>
          </w:p>
        </w:tc>
      </w:tr>
    </w:tbl>
    <w:p>
      <w:pPr>
        <w:spacing w:after="80"/>
      </w:pPr>
    </w:p>
    <w:p>
      <w:pPr>
        <w:pStyle w:val="Heading1"/>
        <w:spacing w:before="440" w:after="120"/>
        <w:keepNext/>
      </w:pPr>
      <w:r>
        <w:rPr>
          <w:rFonts w:ascii="Segoe UI Semibold" w:hAnsi="Segoe UI Semibold"/>
          <w:color w:val="2F5B9C"/>
          <w:sz w:val="34"/>
        </w:rPr>
        <w:t>Signing a voucher</w:t>
      </w:r>
    </w:p>
    <w:p>
      <w:pPr>
        <w:spacing w:after="200" w:line="283" w:lineRule="auto"/>
      </w:pPr>
      <w:r>
        <w:rPr>
          <w:b w:val="0"/>
          <w:i w:val="0"/>
          <w:color w:val="3A4A60"/>
          <w:sz w:val="24"/>
        </w:rPr>
        <w:t xml:space="preserve">Open </w:t>
      </w:r>
      <w:r>
        <w:rPr>
          <w:b/>
          <w:i w:val="0"/>
          <w:color w:val="3A4A60"/>
          <w:sz w:val="24"/>
        </w:rPr>
        <w:t>Approve Vouchers</w:t>
      </w:r>
      <w:r>
        <w:rPr>
          <w:b w:val="0"/>
          <w:i w:val="0"/>
          <w:color w:val="3A4A60"/>
          <w:sz w:val="24"/>
        </w:rPr>
        <w:t>, at the top of the left-hand list. What is there is waiting on your signature and nothing else.</w:t>
      </w:r>
    </w:p>
    <w:p>
      <w:pPr>
        <w:spacing w:after="120" w:line="283" w:lineRule="auto"/>
      </w:pPr>
      <w:r>
        <w:rPr>
          <w:b w:val="0"/>
          <w:i w:val="0"/>
          <w:sz w:val="21"/>
        </w:rPr>
        <w:t>You will not see a voucher that is still with the ministry, with Finance or with the General Manager. By the time one reaches you it has been verified by the EXCO, reviewed by Finance and approved by the General Manager — and the voucher itself shows you each of those, with the name and the date.</w:t>
      </w:r>
    </w:p>
    <w:p>
      <w:pPr>
        <w:spacing w:before="160" w:after="40"/>
        <w:jc w:val="center"/>
      </w:pPr>
      <w:r>
        <w:drawing>
          <wp:inline xmlns:a="http://schemas.openxmlformats.org/drawingml/2006/main" xmlns:pic="http://schemas.openxmlformats.org/drawingml/2006/picture">
            <wp:extent cx="5903999" cy="4565759"/>
            <wp:docPr id="3" name="Picture 3"/>
            <wp:cNvGraphicFramePr>
              <a:graphicFrameLocks noChangeAspect="1"/>
            </wp:cNvGraphicFramePr>
            <a:graphic>
              <a:graphicData uri="http://schemas.openxmlformats.org/drawingml/2006/picture">
                <pic:pic>
                  <pic:nvPicPr>
                    <pic:cNvPr id="0" name="fig03-11-signatory-queue.png"/>
                    <pic:cNvPicPr/>
                  </pic:nvPicPr>
                  <pic:blipFill>
                    <a:blip r:embed="rId11"/>
                    <a:stretch>
                      <a:fillRect/>
                    </a:stretch>
                  </pic:blipFill>
                  <pic:spPr>
                    <a:xfrm>
                      <a:off x="0" y="0"/>
                      <a:ext cx="5903999" cy="4565759"/>
                    </a:xfrm>
                    <a:prstGeom prst="rect"/>
                  </pic:spPr>
                </pic:pic>
              </a:graphicData>
            </a:graphic>
          </wp:inline>
        </w:drawing>
      </w:r>
    </w:p>
    <w:p>
      <w:pPr>
        <w:spacing w:after="200" w:line="283" w:lineRule="auto"/>
        <w:jc w:val="center"/>
      </w:pPr>
      <w:r>
        <w:rPr>
          <w:b w:val="0"/>
          <w:i/>
          <w:color w:val="6B7280"/>
          <w:sz w:val="18"/>
        </w:rPr>
        <w:t>Four tabs, each with a count. The band across the top says how far a voucher has come and what is left — here, step 3 of 4. Everyone in this picture is invented.</w:t>
      </w:r>
    </w:p>
    <w:p>
      <w:pPr>
        <w:pStyle w:val="ListNumber"/>
        <w:numPr>
          <w:ilvl w:val="0"/>
          <w:numId w:val="11"/>
        </w:numPr>
        <w:spacing w:after="40"/>
      </w:pPr>
      <w:r>
        <w:rPr>
          <w:b/>
          <w:i w:val="0"/>
          <w:sz w:val="21"/>
        </w:rPr>
        <w:t>Read the purpose and the amount</w:t>
      </w:r>
      <w:r>
        <w:rPr>
          <w:b w:val="0"/>
          <w:i w:val="0"/>
          <w:sz w:val="21"/>
        </w:rPr>
        <w:t xml:space="preserve">, and open the receipts with the </w:t>
      </w:r>
      <w:r>
        <w:rPr>
          <w:b/>
          <w:i w:val="0"/>
          <w:sz w:val="21"/>
        </w:rPr>
        <w:t>Docs</w:t>
      </w:r>
      <w:r>
        <w:rPr>
          <w:b w:val="0"/>
          <w:i w:val="0"/>
          <w:sz w:val="21"/>
        </w:rPr>
        <w:t xml:space="preserve"> button if you want to see them.</w:t>
      </w:r>
    </w:p>
    <w:p>
      <w:pPr>
        <w:pStyle w:val="ListNumber"/>
        <w:spacing w:after="40"/>
      </w:pPr>
      <w:r>
        <w:rPr>
          <w:b/>
          <w:i w:val="0"/>
          <w:sz w:val="21"/>
        </w:rPr>
        <w:t>Check the budget.</w:t>
      </w:r>
      <w:r>
        <w:rPr>
          <w:b w:val="0"/>
          <w:i w:val="0"/>
          <w:sz w:val="21"/>
        </w:rPr>
        <w:t xml:space="preserve"> The green or amber chip says whether it fits — </w:t>
      </w:r>
      <w:r>
        <w:rPr>
          <w:b w:val="0"/>
          <w:i/>
          <w:sz w:val="21"/>
        </w:rPr>
        <w:t>tap it</w:t>
      </w:r>
      <w:r>
        <w:rPr>
          <w:b w:val="0"/>
          <w:i w:val="0"/>
          <w:sz w:val="21"/>
        </w:rPr>
        <w:t xml:space="preserve"> and it opens, naming the exact budget line and showing what is approved, what is spent, what is committed and what would be left if you sign.</w:t>
      </w:r>
    </w:p>
    <w:p>
      <w:pPr>
        <w:pStyle w:val="ListNumber"/>
        <w:spacing w:after="40"/>
      </w:pPr>
      <w:r>
        <w:rPr>
          <w:b/>
          <w:i w:val="0"/>
          <w:sz w:val="21"/>
        </w:rPr>
        <w:t>Approve or reject.</w:t>
      </w:r>
      <w:r>
        <w:rPr>
          <w:b w:val="0"/>
          <w:i w:val="0"/>
          <w:sz w:val="21"/>
        </w:rPr>
        <w:t xml:space="preserve"> Both ask for your PIN. A rejection asks for a reason, which goes back to whoever raised it.</w:t>
      </w:r>
    </w:p>
    <w:p>
      <w:pPr>
        <w:pStyle w:val="Heading2"/>
        <w:spacing w:before="240" w:after="120"/>
        <w:keepNext/>
      </w:pPr>
      <w:r>
        <w:rPr>
          <w:rFonts w:ascii="Segoe UI Semibold" w:hAnsi="Segoe UI Semibold"/>
          <w:color w:val="1C2738"/>
          <w:sz w:val="25"/>
        </w:rPr>
        <w:t>How many signatures</w:t>
      </w:r>
    </w:p>
    <w:p>
      <w:pPr>
        <w:spacing w:after="120" w:line="283" w:lineRule="auto"/>
      </w:pPr>
      <w:r>
        <w:rPr>
          <w:b w:val="0"/>
          <w:i w:val="0"/>
          <w:sz w:val="21"/>
        </w:rPr>
        <w:t>Up to RM30,000 the Treasurer alone is enough. Above that it takes two officers, any two of the Bishop, the Secretary and the Treasurer. The voucher tells you which it is and how many signatures it already has.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Nobody signs their own payment.</w:t>
            </w:r>
            <w:r>
              <w:rPr>
                <w:b w:val="0"/>
                <w:i w:val="0"/>
                <w:sz w:val="20"/>
              </w:rPr>
              <w:t xml:space="preserve"> If a voucher pays you, or you were the one who raised it, the app will not offer you the buttons — another officer signs it instead. That is not a fault.</w:t>
            </w:r>
          </w:p>
        </w:tc>
      </w:tr>
    </w:tbl>
    <w:p>
      <w:pPr>
        <w:spacing w:after="80"/>
      </w:pPr>
    </w:p>
    <w:p>
      <w:pPr>
        <w:pStyle w:val="Heading2"/>
        <w:spacing w:before="240" w:after="120"/>
        <w:keepNext/>
      </w:pPr>
      <w:r>
        <w:rPr>
          <w:rFonts w:ascii="Segoe UI Semibold" w:hAnsi="Segoe UI Semibold"/>
          <w:color w:val="1C2738"/>
          <w:sz w:val="25"/>
        </w:rPr>
        <w:t>Your PIN</w:t>
      </w:r>
    </w:p>
    <w:p>
      <w:pPr>
        <w:spacing w:after="120" w:line="283" w:lineRule="auto"/>
      </w:pPr>
      <w:r>
        <w:rPr>
          <w:b w:val="0"/>
          <w:i w:val="0"/>
          <w:sz w:val="21"/>
        </w:rPr>
        <w:t xml:space="preserve">Signing asks for a four-digit PIN that is yours alone. Set it, or change it, from </w:t>
      </w:r>
      <w:r>
        <w:rPr>
          <w:b/>
          <w:i w:val="0"/>
          <w:sz w:val="21"/>
        </w:rPr>
        <w:t>Change my PIN</w:t>
      </w:r>
      <w:r>
        <w:rPr>
          <w:b w:val="0"/>
          <w:i w:val="0"/>
          <w:sz w:val="21"/>
        </w:rPr>
        <w:t xml:space="preserve"> at the top right of the same page. It is deliberately separate from how you sign in: signing in says who you are, and the PIN says you meant it.</w:t>
      </w:r>
    </w:p>
    <w:p>
      <w:pPr>
        <w:pStyle w:val="Heading1"/>
        <w:spacing w:before="440" w:after="120"/>
        <w:keepNext/>
      </w:pPr>
      <w:r>
        <w:rPr>
          <w:rFonts w:ascii="Segoe UI Semibold" w:hAnsi="Segoe UI Semibold"/>
          <w:color w:val="2F5B9C"/>
          <w:sz w:val="34"/>
        </w:rPr>
        <w:t>Approving leave</w:t>
      </w:r>
    </w:p>
    <w:p>
      <w:pPr>
        <w:spacing w:after="200" w:line="283" w:lineRule="auto"/>
      </w:pPr>
      <w:r>
        <w:rPr>
          <w:b w:val="0"/>
          <w:i w:val="0"/>
          <w:color w:val="3A4A60"/>
          <w:sz w:val="24"/>
        </w:rPr>
        <w:t xml:space="preserve">Open </w:t>
      </w:r>
      <w:r>
        <w:rPr>
          <w:b/>
          <w:i w:val="0"/>
          <w:color w:val="3A4A60"/>
          <w:sz w:val="24"/>
        </w:rPr>
        <w:t>Approve Leave</w:t>
      </w:r>
      <w:r>
        <w:rPr>
          <w:b w:val="0"/>
          <w:i w:val="0"/>
          <w:color w:val="3A4A60"/>
          <w:sz w:val="24"/>
        </w:rPr>
        <w:t>, at the top of the left-hand list. What is waiting on you is at the top; what is waiting on somebody else is below it, so you can see where an application has got to without it being your turn.</w:t>
      </w:r>
    </w:p>
    <w:p>
      <w:pPr>
        <w:spacing w:before="160" w:after="40"/>
        <w:jc w:val="center"/>
      </w:pPr>
      <w:r>
        <w:drawing>
          <wp:inline xmlns:a="http://schemas.openxmlformats.org/drawingml/2006/main" xmlns:pic="http://schemas.openxmlformats.org/drawingml/2006/picture">
            <wp:extent cx="5903999" cy="3193079"/>
            <wp:docPr id="4" name="Picture 4"/>
            <wp:cNvGraphicFramePr>
              <a:graphicFrameLocks noChangeAspect="1"/>
            </wp:cNvGraphicFramePr>
            <a:graphic>
              <a:graphicData uri="http://schemas.openxmlformats.org/drawingml/2006/picture">
                <pic:pic>
                  <pic:nvPicPr>
                    <pic:cNvPr id="0" name="fig04-07-leave-queue.png"/>
                    <pic:cNvPicPr/>
                  </pic:nvPicPr>
                  <pic:blipFill>
                    <a:blip r:embed="rId12"/>
                    <a:stretch>
                      <a:fillRect/>
                    </a:stretch>
                  </pic:blipFill>
                  <pic:spPr>
                    <a:xfrm>
                      <a:off x="0" y="0"/>
                      <a:ext cx="5903999" cy="3193079"/>
                    </a:xfrm>
                    <a:prstGeom prst="rect"/>
                  </pic:spPr>
                </pic:pic>
              </a:graphicData>
            </a:graphic>
          </wp:inline>
        </w:drawing>
      </w:r>
    </w:p>
    <w:p>
      <w:pPr>
        <w:spacing w:after="200" w:line="283" w:lineRule="auto"/>
        <w:jc w:val="center"/>
      </w:pPr>
      <w:r>
        <w:rPr>
          <w:b w:val="0"/>
          <w:i/>
          <w:color w:val="6B7280"/>
          <w:sz w:val="18"/>
        </w:rPr>
        <w:t>The queue an approver sees. Everyone in this picture is invented.</w:t>
      </w:r>
    </w:p>
    <w:p>
      <w:pPr>
        <w:pStyle w:val="ListNumber"/>
        <w:numPr>
          <w:ilvl w:val="0"/>
          <w:numId w:val="12"/>
        </w:numPr>
        <w:spacing w:after="40"/>
      </w:pPr>
      <w:r>
        <w:rPr>
          <w:b/>
          <w:i w:val="0"/>
          <w:sz w:val="21"/>
        </w:rPr>
        <w:t>Open the application.</w:t>
      </w:r>
      <w:r>
        <w:rPr>
          <w:b w:val="0"/>
          <w:i w:val="0"/>
          <w:sz w:val="21"/>
        </w:rPr>
        <w:t xml:space="preserve"> It shows the dates, the reason, the balance the person had when they applied, and the chain of who must sign.</w:t>
      </w:r>
    </w:p>
    <w:p>
      <w:pPr>
        <w:pStyle w:val="ListNumber"/>
        <w:spacing w:after="40"/>
      </w:pPr>
      <w:r>
        <w:rPr>
          <w:b/>
          <w:i w:val="0"/>
          <w:sz w:val="21"/>
        </w:rPr>
        <w:t>Sign it</w:t>
      </w:r>
      <w:r>
        <w:rPr>
          <w:b w:val="0"/>
          <w:i w:val="0"/>
          <w:sz w:val="21"/>
        </w:rPr>
        <w:t xml:space="preserve"> — with your finger or your mouse — or reject it with a reason.</w:t>
      </w:r>
    </w:p>
    <w:p>
      <w:pPr>
        <w:pStyle w:val="Heading2"/>
        <w:spacing w:before="240" w:after="120"/>
        <w:keepNext/>
      </w:pPr>
      <w:r>
        <w:rPr>
          <w:rFonts w:ascii="Segoe UI Semibold" w:hAnsi="Segoe UI Semibold"/>
          <w:color w:val="1C2738"/>
          <w:sz w:val="25"/>
        </w:rPr>
        <w:t>The order matters</w:t>
      </w:r>
    </w:p>
    <w:p>
      <w:pPr>
        <w:spacing w:after="120" w:line="283" w:lineRule="auto"/>
      </w:pPr>
      <w:r>
        <w:rPr>
          <w:b w:val="0"/>
          <w:i w:val="0"/>
          <w:sz w:val="21"/>
        </w:rPr>
        <w:t>Leave is signed in order, not all at once. Office staff go to the General Manager first and then to the Bishop; a pastor goes to their Pastor in Charge and then the Dean; a head pastor to the Dean and then the Bishop; a Dean to the Bishop alone.</w:t>
      </w:r>
    </w:p>
    <w:p>
      <w:pPr>
        <w:spacing w:after="120" w:line="283" w:lineRule="auto"/>
      </w:pPr>
      <w:r>
        <w:rPr>
          <w:b w:val="0"/>
          <w:i w:val="0"/>
          <w:sz w:val="21"/>
        </w:rPr>
        <w:t>If it is not your turn yet the application will say so and the buttons will not be there. Nothing is lost — you will be emailed when it reaches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Nobody approves their own leave</w:t>
            </w:r>
            <w:r>
              <w:rPr>
                <w:b w:val="0"/>
                <w:i w:val="0"/>
                <w:sz w:val="20"/>
              </w:rPr>
              <w:t>, whatever office they hold. The chain skips you and goes to the person above.</w:t>
            </w:r>
          </w:p>
        </w:tc>
      </w:tr>
    </w:tbl>
    <w:p>
      <w:pPr>
        <w:spacing w:after="80"/>
      </w:pPr>
    </w:p>
    <w:p>
      <w:pPr>
        <w:pStyle w:val="Heading1"/>
        <w:spacing w:before="440" w:after="120"/>
        <w:keepNext/>
      </w:pPr>
      <w:r>
        <w:rPr>
          <w:rFonts w:ascii="Segoe UI Semibold" w:hAnsi="Segoe UI Semibold"/>
          <w:color w:val="2F5B9C"/>
          <w:sz w:val="34"/>
        </w:rPr>
        <w:t>The budget</w:t>
      </w:r>
    </w:p>
    <w:p>
      <w:pPr>
        <w:spacing w:after="200" w:line="283" w:lineRule="auto"/>
      </w:pPr>
      <w:r>
        <w:rPr>
          <w:b w:val="0"/>
          <w:i w:val="0"/>
          <w:color w:val="3A4A60"/>
          <w:sz w:val="24"/>
        </w:rPr>
        <w:t xml:space="preserve">Open </w:t>
      </w:r>
      <w:r>
        <w:rPr>
          <w:b/>
          <w:i w:val="0"/>
          <w:color w:val="3A4A60"/>
          <w:sz w:val="24"/>
        </w:rPr>
        <w:t>Budget</w:t>
      </w:r>
      <w:r>
        <w:rPr>
          <w:b w:val="0"/>
          <w:i w:val="0"/>
          <w:color w:val="3A4A60"/>
          <w:sz w:val="24"/>
        </w:rPr>
        <w:t>. You see the ministries you are entitled to see — your own, or all of them.</w:t>
      </w:r>
    </w:p>
    <w:p>
      <w:pPr>
        <w:spacing w:after="120" w:line="283" w:lineRule="auto"/>
      </w:pPr>
      <w:r>
        <w:rPr>
          <w:b w:val="0"/>
          <w:i w:val="0"/>
          <w:sz w:val="21"/>
        </w:rPr>
        <w:t>Each ministry’s budget is a list of lines, one per project or activity. For each line: what was approved, what has been spent, what is committed but not yet paid, and what is left. The colour is a quick read — green has room, amber is close, red is over.</w:t>
      </w:r>
    </w:p>
    <w:p>
      <w:pPr>
        <w:spacing w:before="160" w:after="40"/>
        <w:jc w:val="center"/>
      </w:pPr>
      <w:r>
        <w:drawing>
          <wp:inline xmlns:a="http://schemas.openxmlformats.org/drawingml/2006/main" xmlns:pic="http://schemas.openxmlformats.org/drawingml/2006/picture">
            <wp:extent cx="5903999" cy="3473519"/>
            <wp:docPr id="5" name="Picture 5"/>
            <wp:cNvGraphicFramePr>
              <a:graphicFrameLocks noChangeAspect="1"/>
            </wp:cNvGraphicFramePr>
            <a:graphic>
              <a:graphicData uri="http://schemas.openxmlformats.org/drawingml/2006/picture">
                <pic:pic>
                  <pic:nvPicPr>
                    <pic:cNvPr id="0" name="fig05-12-budget.png"/>
                    <pic:cNvPicPr/>
                  </pic:nvPicPr>
                  <pic:blipFill>
                    <a:blip r:embed="rId13"/>
                    <a:stretch>
                      <a:fillRect/>
                    </a:stretch>
                  </pic:blipFill>
                  <pic:spPr>
                    <a:xfrm>
                      <a:off x="0" y="0"/>
                      <a:ext cx="5903999" cy="3473519"/>
                    </a:xfrm>
                    <a:prstGeom prst="rect"/>
                  </pic:spPr>
                </pic:pic>
              </a:graphicData>
            </a:graphic>
          </wp:inline>
        </w:drawing>
      </w:r>
    </w:p>
    <w:p>
      <w:pPr>
        <w:spacing w:after="200" w:line="283" w:lineRule="auto"/>
        <w:jc w:val="center"/>
      </w:pPr>
      <w:r>
        <w:rPr>
          <w:b w:val="0"/>
          <w:i/>
          <w:color w:val="6B7280"/>
          <w:sz w:val="18"/>
        </w:rPr>
        <w:t xml:space="preserve">One row per project. </w:t>
      </w:r>
      <w:r>
        <w:rPr>
          <w:b/>
          <w:i/>
          <w:color w:val="6B7280"/>
          <w:sz w:val="18"/>
        </w:rPr>
        <w:t>Balance</w:t>
      </w:r>
      <w:r>
        <w:rPr>
          <w:b w:val="0"/>
          <w:i/>
          <w:color w:val="6B7280"/>
          <w:sz w:val="18"/>
        </w:rPr>
        <w:t xml:space="preserve"> ignores what is committed; </w:t>
      </w:r>
      <w:r>
        <w:rPr>
          <w:b/>
          <w:i/>
          <w:color w:val="6B7280"/>
          <w:sz w:val="18"/>
        </w:rPr>
        <w:t>Available</w:t>
      </w:r>
      <w:r>
        <w:rPr>
          <w:b w:val="0"/>
          <w:i/>
          <w:color w:val="6B7280"/>
          <w:sz w:val="18"/>
        </w:rPr>
        <w:t xml:space="preserve"> subtracts it, which is the figure to use when deciding whether there is room for something new. Church planting here has RM1,250 left on paper and is RM550 short once the voucher already in the chain is counted. Every figure in this picture is invented.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 voucher is tied to a budget line by its project name.</w:t>
            </w:r>
            <w:r>
              <w:rPr>
                <w:b w:val="0"/>
                <w:i w:val="0"/>
                <w:sz w:val="20"/>
              </w:rPr>
              <w:t xml:space="preserve"> That is why the ministry and project on a claim matter: a claim with no project is spending the budget cannot see, and it will show as </w:t>
            </w:r>
            <w:r>
              <w:rPr>
                <w:b/>
                <w:i w:val="0"/>
                <w:sz w:val="20"/>
              </w:rPr>
              <w:t>Unbudgeted</w:t>
            </w:r>
            <w:r>
              <w:rPr>
                <w:b w:val="0"/>
                <w:i w:val="0"/>
                <w:sz w:val="20"/>
              </w:rPr>
              <w:t xml:space="preserve"> wherever it appears.</w:t>
            </w:r>
          </w:p>
        </w:tc>
      </w:tr>
    </w:tbl>
    <w:p>
      <w:pPr>
        <w:spacing w:after="80"/>
      </w:pPr>
    </w:p>
    <w:p>
      <w:pPr>
        <w:pStyle w:val="Heading1"/>
        <w:spacing w:before="440" w:after="120"/>
        <w:keepNext/>
      </w:pPr>
      <w:r>
        <w:rPr>
          <w:rFonts w:ascii="Segoe UI Semibold" w:hAnsi="Segoe UI Semibold"/>
          <w:color w:val="2F5B9C"/>
          <w:sz w:val="34"/>
        </w:rPr>
        <w:t>Approving a budget</w:t>
      </w:r>
    </w:p>
    <w:p>
      <w:pPr>
        <w:spacing w:after="200" w:line="283" w:lineRule="auto"/>
      </w:pPr>
      <w:r>
        <w:rPr>
          <w:b w:val="0"/>
          <w:i w:val="0"/>
          <w:color w:val="3A4A60"/>
          <w:sz w:val="24"/>
        </w:rPr>
        <w:t>The annual budget is not yours to approve on your own. It is decided by the EXCO, voting at a meeting called for that purpose and no other.</w:t>
      </w:r>
    </w:p>
    <w:p>
      <w:pPr>
        <w:spacing w:after="120" w:line="283" w:lineRule="auto"/>
      </w:pPr>
      <w:r>
        <w:rPr>
          <w:b w:val="0"/>
          <w:i w:val="0"/>
          <w:sz w:val="21"/>
        </w:rPr>
        <w:t>Proposing and accepting the budget is the whole business of that meeting. The Treasurer, the Secretary and the Bishop each have a voice in it, and so does the rest of the EXCO. What happens in the app afterwards is the recording of what was resolved.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What the button actually does.</w:t>
            </w:r>
            <w:r>
              <w:rPr>
                <w:b w:val="0"/>
                <w:i w:val="0"/>
                <w:sz w:val="20"/>
              </w:rPr>
              <w:t xml:space="preserve"> Pressing </w:t>
            </w:r>
            <w:r>
              <w:rPr>
                <w:b w:val="0"/>
                <w:i/>
                <w:sz w:val="20"/>
              </w:rPr>
              <w:t>Approve</w:t>
            </w:r>
            <w:r>
              <w:rPr>
                <w:b w:val="0"/>
                <w:i w:val="0"/>
                <w:sz w:val="20"/>
              </w:rPr>
              <w:t xml:space="preserve"> does not make the budget approved — the meeting did that. It puts the agreed figures live so claims can be charged against them. Press it after the meeting, not instead of one: approving beforehand would leave the app disagreeing with the minute book, and the minute book is the authority.</w:t>
            </w:r>
          </w:p>
        </w:tc>
      </w:tr>
    </w:tbl>
    <w:p>
      <w:pPr>
        <w:spacing w:after="80"/>
      </w:pPr>
    </w:p>
    <w:p>
      <w:pPr>
        <w:pStyle w:val="ListNumber"/>
        <w:numPr>
          <w:ilvl w:val="0"/>
          <w:numId w:val="13"/>
        </w:numPr>
        <w:spacing w:after="40"/>
      </w:pPr>
      <w:r>
        <w:rPr>
          <w:b/>
          <w:i w:val="0"/>
          <w:sz w:val="21"/>
        </w:rPr>
        <w:t>The EXCO meets and votes.</w:t>
      </w:r>
    </w:p>
    <w:p>
      <w:pPr>
        <w:spacing w:after="120"/>
        <w:ind w:left="510"/>
      </w:pPr>
      <w:r>
        <w:rPr>
          <w:b w:val="0"/>
          <w:i w:val="0"/>
          <w:color w:val="6B7280"/>
          <w:sz w:val="19"/>
        </w:rPr>
        <w:t>A meeting for the budget alone, and the decision minuted.</w:t>
      </w:r>
    </w:p>
    <w:p>
      <w:pPr>
        <w:pStyle w:val="ListNumber"/>
        <w:spacing w:after="40"/>
      </w:pPr>
      <w:r>
        <w:rPr>
          <w:b/>
          <w:i w:val="0"/>
          <w:sz w:val="21"/>
        </w:rPr>
        <w:t xml:space="preserve">Open </w:t>
      </w:r>
      <w:r>
        <w:rPr>
          <w:rFonts w:ascii="Consolas" w:hAnsi="Consolas"/>
          <w:b/>
          <w:i w:val="0"/>
          <w:color w:val="2F5B9C"/>
          <w:sz w:val="21"/>
        </w:rPr>
        <w:t>Budget</w:t>
      </w:r>
      <w:r>
        <w:rPr>
          <w:b/>
          <w:i w:val="0"/>
          <w:sz w:val="21"/>
        </w:rPr>
        <w:t>.</w:t>
      </w:r>
    </w:p>
    <w:p>
      <w:pPr>
        <w:spacing w:after="120"/>
        <w:ind w:left="510"/>
      </w:pPr>
      <w:r>
        <w:rPr>
          <w:b w:val="0"/>
          <w:i w:val="0"/>
          <w:color w:val="6B7280"/>
          <w:sz w:val="19"/>
        </w:rPr>
        <w:t>Proposals from every ministry are listed together, so the meeting can work through them without going ministry by ministry.</w:t>
      </w:r>
    </w:p>
    <w:p>
      <w:pPr>
        <w:pStyle w:val="ListNumber"/>
        <w:spacing w:after="40"/>
      </w:pPr>
      <w:r>
        <w:rPr>
          <w:b/>
          <w:i w:val="0"/>
          <w:sz w:val="21"/>
        </w:rPr>
        <w:t>Record what was decided.</w:t>
      </w:r>
    </w:p>
    <w:p>
      <w:pPr>
        <w:spacing w:after="120"/>
        <w:ind w:left="510"/>
      </w:pPr>
      <w:r>
        <w:rPr>
          <w:b w:val="0"/>
          <w:i w:val="0"/>
          <w:color w:val="6B7280"/>
          <w:sz w:val="19"/>
        </w:rPr>
        <w:t>Approving asks for the meeting’s resolution and its date, and will not go through without them. It then makes the lines live. Sending one back asks for the same two things, because that is the meeting’s decision as well. It unlocks the budget so the ministry can revise it before the next meeting, and your reason is what they are given to work from.</w:t>
      </w:r>
    </w:p>
    <w:p>
      <w:pPr>
        <w:spacing w:after="120" w:line="283" w:lineRule="auto"/>
      </w:pPr>
      <w:r>
        <w:rPr>
          <w:b w:val="0"/>
          <w:i w:val="0"/>
          <w:sz w:val="21"/>
        </w:rPr>
        <w:t>Once recorded, the resolution is shown beside the ministry and year at the head of the budget, so anybody reading the figures can see which meeting made them the budget.</w:t>
      </w:r>
    </w:p>
    <w:p>
      <w:pPr>
        <w:pStyle w:val="Heading2"/>
        <w:spacing w:before="240" w:after="120"/>
        <w:keepNext/>
      </w:pPr>
      <w:r>
        <w:rPr>
          <w:rFonts w:ascii="Segoe UI Semibold" w:hAnsi="Segoe UI Semibold"/>
          <w:color w:val="1C2738"/>
          <w:sz w:val="25"/>
        </w:rPr>
        <w:t>Changes asked for during the year</w:t>
      </w:r>
    </w:p>
    <w:p>
      <w:pPr>
        <w:spacing w:after="120" w:line="283" w:lineRule="auto"/>
      </w:pPr>
      <w:r>
        <w:rPr>
          <w:b w:val="0"/>
          <w:i w:val="0"/>
          <w:sz w:val="21"/>
        </w:rPr>
        <w:t>Once a budget is live a ministry cannot edit it, so a change arrives as a request saying what is being changed and why. A change to an approved budget changes what the EXCO approved, so it is decided the same way and recorded the same way: approving or declining one asks for the meeting’s resolution and date, exactly as the budget itself does. Approving applies it to the budget there and then.</w:t>
      </w:r>
    </w:p>
    <w:p>
      <w:pPr>
        <w:spacing w:after="120" w:line="283" w:lineRule="auto"/>
      </w:pPr>
      <w:r>
        <w:rPr>
          <w:b w:val="0"/>
          <w:i w:val="0"/>
          <w:sz w:val="21"/>
        </w:rPr>
        <w:t>Until it is decided, the ministry’s page keeps showing the figures that were actually agreed. A request does not quietly become a budget.</w:t>
      </w: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Anyone can be owed money by the church — a volunteer who bought refreshments, a pastor who paid for petrol. Claiming is not something only staff may do, so </w:t>
      </w:r>
      <w:r>
        <w:rPr>
          <w:b/>
          <w:i w:val="0"/>
          <w:color w:val="3A4A60"/>
          <w:sz w:val="24"/>
        </w:rPr>
        <w:t>Submit PV</w:t>
      </w:r>
      <w:r>
        <w:rPr>
          <w:b w:val="0"/>
          <w:i w:val="0"/>
          <w:color w:val="3A4A60"/>
          <w:sz w:val="24"/>
        </w:rPr>
        <w:t xml:space="preserve"> is in everybody’s list.</w:t>
      </w:r>
    </w:p>
    <w:p>
      <w:pPr>
        <w:pStyle w:val="ListNumber"/>
        <w:numPr>
          <w:ilvl w:val="0"/>
          <w:numId w:val="14"/>
        </w:numPr>
        <w:spacing w:after="40"/>
      </w:pPr>
      <w:r>
        <w:rPr>
          <w:b/>
          <w:i w:val="0"/>
          <w:sz w:val="21"/>
        </w:rPr>
        <w:t>Open Submit PV</w:t>
      </w:r>
      <w:r>
        <w:rPr>
          <w:b w:val="0"/>
          <w:i w:val="0"/>
          <w:sz w:val="21"/>
        </w:rPr>
        <w:t>, at the top of the left-hand list.</w:t>
      </w:r>
    </w:p>
    <w:p>
      <w:pPr>
        <w:pStyle w:val="ListNumber"/>
        <w:spacing w:after="40"/>
      </w:pPr>
      <w:r>
        <w:rPr>
          <w:b/>
          <w:i w:val="0"/>
          <w:sz w:val="21"/>
        </w:rPr>
        <w:t>Say which ministry it belongs to.</w:t>
      </w:r>
      <w:r>
        <w:rPr>
          <w:b w:val="0"/>
          <w:i w:val="0"/>
          <w:sz w:val="21"/>
        </w:rPr>
        <w:t xml:space="preserve"> This is the field people get wrong. It decides whose budget the money comes out of and who has to verify it, so if you are unsure, ask that ministry’s EXCO Member before you send it.</w:t>
      </w:r>
    </w:p>
    <w:p>
      <w:pPr>
        <w:pStyle w:val="ListNumber"/>
        <w:spacing w:after="40"/>
      </w:pPr>
      <w:r>
        <w:rPr>
          <w:b/>
          <w:i w:val="0"/>
          <w:sz w:val="21"/>
        </w:rPr>
        <w:t>Say what it is for</w:t>
      </w:r>
      <w:r>
        <w:rPr>
          <w:b w:val="0"/>
          <w:i w:val="0"/>
          <w:sz w:val="21"/>
        </w:rPr>
        <w:t>, in a few plain words. “Petrol, Orang Asli outreach, 12–14 Sept” is a good purpose. “Claim” is not.</w:t>
      </w:r>
    </w:p>
    <w:p>
      <w:pPr>
        <w:pStyle w:val="ListNumber"/>
        <w:spacing w:after="40"/>
      </w:pPr>
      <w:r>
        <w:rPr>
          <w:b/>
          <w:i w:val="0"/>
          <w:sz w:val="21"/>
        </w:rPr>
        <w:t>Add each item and its amount.</w:t>
      </w:r>
      <w:r>
        <w:rPr>
          <w:b w:val="0"/>
          <w:i w:val="0"/>
          <w:sz w:val="21"/>
        </w:rPr>
        <w:t xml:space="preserve"> The total adds itself — do not type it.</w:t>
      </w:r>
    </w:p>
    <w:p>
      <w:pPr>
        <w:pStyle w:val="ListNumber"/>
        <w:spacing w:after="40"/>
      </w:pPr>
      <w:r>
        <w:rPr>
          <w:b/>
          <w:i w:val="0"/>
          <w:sz w:val="21"/>
        </w:rPr>
        <w:t>Attach the receipts.</w:t>
      </w:r>
      <w:r>
        <w:rPr>
          <w:b w:val="0"/>
          <w:i w:val="0"/>
          <w:sz w:val="21"/>
        </w:rPr>
        <w:t xml:space="preserve"> Photograph them with your phone; the form takes pictures as readily as files. A claim without receipts comes back to you.</w:t>
      </w:r>
    </w:p>
    <w:p>
      <w:pPr>
        <w:pStyle w:val="ListNumber"/>
        <w:spacing w:after="40"/>
      </w:pPr>
      <w:r>
        <w:rPr>
          <w:b/>
          <w:i w:val="0"/>
          <w:sz w:val="21"/>
        </w:rPr>
        <w:t>Say how you want to be paid</w:t>
      </w:r>
      <w:r>
        <w:rPr>
          <w:b w:val="0"/>
          <w:i w:val="0"/>
          <w:sz w:val="21"/>
        </w:rPr>
        <w:t>, and check the account number twice. That is the figure hardest to put right once the money has gone.</w:t>
      </w:r>
    </w:p>
    <w:p>
      <w:pPr>
        <w:pStyle w:val="ListNumber"/>
        <w:spacing w:after="40"/>
      </w:pPr>
      <w:r>
        <w:rPr>
          <w:b/>
          <w:i w:val="0"/>
          <w:sz w:val="21"/>
        </w:rPr>
        <w:t>Sign at the bottom</w:t>
      </w:r>
      <w:r>
        <w:rPr>
          <w:b w:val="0"/>
          <w:i w:val="0"/>
          <w:sz w:val="21"/>
        </w:rPr>
        <w:t xml:space="preserve"> with your finger or your mouse, and send it.</w:t>
      </w:r>
    </w:p>
    <w:p>
      <w:pPr>
        <w:spacing w:before="160" w:after="40"/>
        <w:jc w:val="center"/>
      </w:pPr>
      <w:r>
        <w:drawing>
          <wp:inline xmlns:a="http://schemas.openxmlformats.org/drawingml/2006/main" xmlns:pic="http://schemas.openxmlformats.org/drawingml/2006/picture">
            <wp:extent cx="5903999" cy="3237359"/>
            <wp:docPr id="6" name="Picture 6"/>
            <wp:cNvGraphicFramePr>
              <a:graphicFrameLocks noChangeAspect="1"/>
            </wp:cNvGraphicFramePr>
            <a:graphic>
              <a:graphicData uri="http://schemas.openxmlformats.org/drawingml/2006/picture">
                <pic:pic>
                  <pic:nvPicPr>
                    <pic:cNvPr id="0" name="fig06-03-request-desktop.png"/>
                    <pic:cNvPicPr/>
                  </pic:nvPicPr>
                  <pic:blipFill>
                    <a:blip r:embed="rId14"/>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form on a computer. On a phone it becomes one column with the same fields in the same order — nothing is left out of the small version.</w:t>
      </w:r>
    </w:p>
    <w:p>
      <w:pPr>
        <w:pStyle w:val="Heading2"/>
        <w:spacing w:before="240" w:after="120"/>
        <w:keepNext/>
      </w:pPr>
      <w:r>
        <w:rPr>
          <w:rFonts w:ascii="Segoe UI Semibold" w:hAnsi="Segoe UI Semibold"/>
          <w:color w:val="1C2738"/>
          <w:sz w:val="25"/>
        </w:rPr>
        <w:t>What happens after you send it</w:t>
      </w:r>
    </w:p>
    <w:p>
      <w:pPr>
        <w:spacing w:after="120" w:line="283" w:lineRule="auto"/>
      </w:pPr>
      <w:r>
        <w:rPr>
          <w:b w:val="0"/>
          <w:i w:val="0"/>
          <w:sz w:val="21"/>
        </w:rPr>
        <w:t xml:space="preserve">You do not have to chase it. The claim goes to the ministry’s EXCO Member, then to Finance, then to the General Manager, then to the officers who sign. You can see where it has reached at any time under </w:t>
      </w:r>
      <w:r>
        <w:rPr>
          <w:b/>
          <w:i w:val="0"/>
          <w:sz w:val="21"/>
        </w:rPr>
        <w:t>My Submissions</w:t>
      </w:r>
      <w:r>
        <w:rPr>
          <w:b w:val="0"/>
          <w:i w:val="0"/>
          <w:sz w:val="21"/>
        </w:rPr>
        <w:t>, and whoever it is waiting on is named there.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will be told, not left wondering.</w:t>
            </w:r>
            <w:r>
              <w:rPr>
                <w:b w:val="0"/>
                <w:i w:val="0"/>
                <w:sz w:val="20"/>
              </w:rPr>
              <w:t xml:space="preserve"> Each step emails you as it happens. If a claim is sent back, the reason is on it — correct that one thing and send it again rather than starting afresh.</w:t>
            </w:r>
          </w:p>
        </w:tc>
      </w:tr>
    </w:tbl>
    <w:p>
      <w:pPr>
        <w:spacing w:after="80"/>
      </w:pPr>
    </w:p>
    <w:p>
      <w:pPr>
        <w:pStyle w:val="Heading1"/>
        <w:spacing w:before="440" w:after="120"/>
        <w:keepNext/>
      </w:pPr>
      <w:r>
        <w:rPr>
          <w:rFonts w:ascii="Segoe UI Semibold" w:hAnsi="Segoe UI Semibold"/>
          <w:color w:val="2F5B9C"/>
          <w:sz w:val="34"/>
        </w:rPr>
        <w:t>The church directory</w:t>
      </w:r>
    </w:p>
    <w:p>
      <w:pPr>
        <w:spacing w:after="200" w:line="283" w:lineRule="auto"/>
      </w:pPr>
      <w:r>
        <w:rPr>
          <w:b w:val="0"/>
          <w:i w:val="0"/>
          <w:color w:val="3A4A60"/>
          <w:sz w:val="24"/>
        </w:rPr>
        <w:t>Who the pastors are, which congregation sits in which district, and who currently holds each office.</w:t>
      </w:r>
    </w:p>
    <w:p>
      <w:pPr>
        <w:spacing w:after="120" w:line="283" w:lineRule="auto"/>
      </w:pPr>
      <w:r>
        <w:rPr>
          <w:b w:val="0"/>
          <w:i w:val="0"/>
          <w:sz w:val="21"/>
        </w:rPr>
        <w:t xml:space="preserve">Open </w:t>
      </w:r>
      <w:r>
        <w:rPr>
          <w:b/>
          <w:i w:val="0"/>
          <w:sz w:val="21"/>
        </w:rPr>
        <w:t>The Church</w:t>
      </w:r>
      <w:r>
        <w:rPr>
          <w:b w:val="0"/>
          <w:i w:val="0"/>
          <w:sz w:val="21"/>
        </w:rPr>
        <w:t xml:space="preserve"> in the left-hand list, then </w:t>
      </w:r>
      <w:r>
        <w:rPr>
          <w:b/>
          <w:i w:val="0"/>
          <w:sz w:val="21"/>
        </w:rPr>
        <w:t>Church Directory</w:t>
      </w:r>
      <w:r>
        <w:rPr>
          <w:b w:val="0"/>
          <w:i w:val="0"/>
          <w:sz w:val="21"/>
        </w:rPr>
        <w:t xml:space="preserve"> for the districts and congregations, or </w:t>
      </w:r>
      <w:r>
        <w:rPr>
          <w:b/>
          <w:i w:val="0"/>
          <w:sz w:val="21"/>
        </w:rPr>
        <w:t>Elected Offices</w:t>
      </w:r>
      <w:r>
        <w:rPr>
          <w:b w:val="0"/>
          <w:i w:val="0"/>
          <w:sz w:val="21"/>
        </w:rPr>
        <w:t xml:space="preserve"> for who holds what. Both are there to be read; neither asks anything of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Something out of date?</w:t>
            </w:r>
            <w:r>
              <w:rPr>
                <w:b w:val="0"/>
                <w:i w:val="0"/>
                <w:sz w:val="20"/>
              </w:rPr>
              <w:t xml:space="preserve"> Tell the HQ office rather than working around it. The directory is what the app uses to decide who approves your leave and where a claim is routed, so a wrong entry there quietly sends things to the wrong person.</w:t>
            </w:r>
          </w:p>
        </w:tc>
      </w:tr>
    </w:tbl>
    <w:p>
      <w:pPr>
        <w:spacing w:after="80"/>
      </w:pPr>
    </w:p>
    <w:p>
      <w:pPr>
        <w:pStyle w:val="Heading1"/>
        <w:spacing w:before="440" w:after="120"/>
        <w:keepNext/>
      </w:pPr>
      <w:r>
        <w:rPr>
          <w:rFonts w:ascii="Segoe UI Semibold" w:hAnsi="Segoe UI Semibold"/>
          <w:color w:val="2F5B9C"/>
          <w:sz w:val="34"/>
        </w:rPr>
        <w:t>Applying for leave</w:t>
      </w:r>
    </w:p>
    <w:p>
      <w:pPr>
        <w:spacing w:after="200" w:line="283" w:lineRule="auto"/>
      </w:pPr>
      <w:r>
        <w:rPr>
          <w:b w:val="0"/>
          <w:i w:val="0"/>
          <w:color w:val="3A4A60"/>
          <w:sz w:val="24"/>
        </w:rPr>
        <w:t xml:space="preserve">Open </w:t>
      </w:r>
      <w:r>
        <w:rPr>
          <w:b/>
          <w:i w:val="0"/>
          <w:color w:val="3A4A60"/>
          <w:sz w:val="24"/>
        </w:rPr>
        <w:t>My Space</w:t>
      </w:r>
      <w:r>
        <w:rPr>
          <w:b w:val="0"/>
          <w:i w:val="0"/>
          <w:color w:val="3A4A60"/>
          <w:sz w:val="24"/>
        </w:rPr>
        <w:t xml:space="preserve"> → </w:t>
      </w:r>
      <w:r>
        <w:rPr>
          <w:b/>
          <w:i w:val="0"/>
          <w:color w:val="3A4A60"/>
          <w:sz w:val="24"/>
        </w:rPr>
        <w:t>My Leave</w:t>
      </w:r>
      <w:r>
        <w:rPr>
          <w:b w:val="0"/>
          <w:i w:val="0"/>
          <w:color w:val="3A4A60"/>
          <w:sz w:val="24"/>
        </w:rPr>
        <w:t>. Your balance is on the first tab; applying is on the second.</w:t>
      </w:r>
    </w:p>
    <w:p>
      <w:pPr>
        <w:pStyle w:val="ListNumber"/>
        <w:numPr>
          <w:ilvl w:val="0"/>
          <w:numId w:val="15"/>
        </w:numPr>
        <w:spacing w:after="40"/>
      </w:pPr>
      <w:r>
        <w:rPr>
          <w:b/>
          <w:i w:val="0"/>
          <w:sz w:val="21"/>
        </w:rPr>
        <w:t>Check the balance first.</w:t>
      </w:r>
      <w:r>
        <w:rPr>
          <w:b w:val="0"/>
          <w:i w:val="0"/>
          <w:sz w:val="21"/>
        </w:rPr>
        <w:t xml:space="preserve"> It shows what you are entitled to this year, what you have taken and what is left, for each kind of leave.</w:t>
      </w:r>
    </w:p>
    <w:p>
      <w:pPr>
        <w:pStyle w:val="ListNumber"/>
        <w:spacing w:after="40"/>
      </w:pPr>
      <w:r>
        <w:rPr>
          <w:b/>
          <w:i w:val="0"/>
          <w:sz w:val="21"/>
        </w:rPr>
        <w:t>Choose the kind of leave</w:t>
      </w:r>
      <w:r>
        <w:rPr>
          <w:b w:val="0"/>
          <w:i w:val="0"/>
          <w:sz w:val="21"/>
        </w:rPr>
        <w:t xml:space="preserve"> and the dates. The number of days works itself out; you do not count them.</w:t>
      </w:r>
    </w:p>
    <w:p>
      <w:pPr>
        <w:pStyle w:val="ListNumber"/>
        <w:spacing w:after="40"/>
      </w:pPr>
      <w:r>
        <w:rPr>
          <w:b/>
          <w:i w:val="0"/>
          <w:sz w:val="21"/>
        </w:rPr>
        <w:t>Say why</w:t>
      </w:r>
      <w:r>
        <w:rPr>
          <w:b w:val="0"/>
          <w:i w:val="0"/>
          <w:sz w:val="21"/>
        </w:rPr>
        <w:t>, briefly. For medical leave, attach the certificate.</w:t>
      </w:r>
    </w:p>
    <w:p>
      <w:pPr>
        <w:pStyle w:val="ListNumber"/>
        <w:spacing w:after="40"/>
      </w:pPr>
      <w:r>
        <w:rPr>
          <w:b/>
          <w:i w:val="0"/>
          <w:sz w:val="21"/>
        </w:rPr>
        <w:t>Sign at the bottom</w:t>
      </w:r>
      <w:r>
        <w:rPr>
          <w:b w:val="0"/>
          <w:i w:val="0"/>
          <w:sz w:val="21"/>
        </w:rPr>
        <w:t xml:space="preserve"> and send it.</w:t>
      </w:r>
    </w:p>
    <w:p>
      <w:pPr>
        <w:spacing w:before="160" w:after="40"/>
        <w:jc w:val="center"/>
      </w:pPr>
      <w:r>
        <w:drawing>
          <wp:inline xmlns:a="http://schemas.openxmlformats.org/drawingml/2006/main" xmlns:pic="http://schemas.openxmlformats.org/drawingml/2006/picture">
            <wp:extent cx="5903999" cy="4560839"/>
            <wp:docPr id="7" name="Picture 7"/>
            <wp:cNvGraphicFramePr>
              <a:graphicFrameLocks noChangeAspect="1"/>
            </wp:cNvGraphicFramePr>
            <a:graphic>
              <a:graphicData uri="http://schemas.openxmlformats.org/drawingml/2006/picture">
                <pic:pic>
                  <pic:nvPicPr>
                    <pic:cNvPr id="0" name="fig07-05-my-leave.png"/>
                    <pic:cNvPicPr/>
                  </pic:nvPicPr>
                  <pic:blipFill>
                    <a:blip r:embed="rId15"/>
                    <a:stretch>
                      <a:fillRect/>
                    </a:stretch>
                  </pic:blipFill>
                  <pic:spPr>
                    <a:xfrm>
                      <a:off x="0" y="0"/>
                      <a:ext cx="5903999" cy="4560839"/>
                    </a:xfrm>
                    <a:prstGeom prst="rect"/>
                  </pic:spPr>
                </pic:pic>
              </a:graphicData>
            </a:graphic>
          </wp:inline>
        </w:drawing>
      </w:r>
    </w:p>
    <w:p>
      <w:pPr>
        <w:spacing w:after="200" w:line="283" w:lineRule="auto"/>
        <w:jc w:val="center"/>
      </w:pPr>
      <w:r>
        <w:rPr>
          <w:b w:val="0"/>
          <w:i/>
          <w:color w:val="6B7280"/>
          <w:sz w:val="18"/>
        </w:rPr>
        <w:t>Everyone in this picture is invented. Your own balances are private to you and to those who approve your leave.</w:t>
      </w:r>
    </w:p>
    <w:p>
      <w:pPr>
        <w:pStyle w:val="Heading2"/>
        <w:spacing w:before="240" w:after="120"/>
        <w:keepNext/>
      </w:pPr>
      <w:r>
        <w:rPr>
          <w:rFonts w:ascii="Segoe UI Semibold" w:hAnsi="Segoe UI Semibold"/>
          <w:color w:val="1C2738"/>
          <w:sz w:val="25"/>
        </w:rPr>
        <w:t>Who has to sign</w:t>
      </w:r>
    </w:p>
    <w:p>
      <w:pPr>
        <w:spacing w:after="120" w:line="283" w:lineRule="auto"/>
      </w:pPr>
      <w:r>
        <w:rPr>
          <w:b w:val="0"/>
          <w:i w:val="0"/>
          <w:sz w:val="21"/>
        </w:rPr>
        <w:t>The form tells you before you send it, and the application tells you afterwards how far it has got — who has signed, and who it is now waiting on.</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Annual leave is asked for seven days ahead.</w:t>
            </w:r>
            <w:r>
              <w:rPr>
                <w:b w:val="0"/>
                <w:i w:val="0"/>
                <w:sz w:val="20"/>
              </w:rPr>
              <w:t xml:space="preserve"> That is the church’s rule, not the app’s; it will let you apply later than that, and the person approving it will see that you did.</w:t>
            </w:r>
          </w:p>
        </w:tc>
      </w:tr>
    </w:tbl>
    <w:p>
      <w:pPr>
        <w:spacing w:after="80"/>
      </w:pPr>
    </w:p>
    <w:p>
      <w:pPr>
        <w:pStyle w:val="Heading1"/>
        <w:spacing w:before="440" w:after="120"/>
        <w:keepNext/>
      </w:pPr>
      <w:r>
        <w:rPr>
          <w:rFonts w:ascii="Segoe UI Semibold" w:hAnsi="Segoe UI Semibold"/>
          <w:color w:val="2F5B9C"/>
          <w:sz w:val="34"/>
        </w:rPr>
        <w:t>Your payslip</w:t>
      </w:r>
    </w:p>
    <w:p>
      <w:pPr>
        <w:spacing w:after="200" w:line="283" w:lineRule="auto"/>
      </w:pPr>
      <w:r>
        <w:rPr>
          <w:b/>
          <w:i w:val="0"/>
          <w:color w:val="3A4A60"/>
          <w:sz w:val="24"/>
        </w:rPr>
        <w:t>My Space</w:t>
      </w:r>
      <w:r>
        <w:rPr>
          <w:b w:val="0"/>
          <w:i w:val="0"/>
          <w:color w:val="3A4A60"/>
          <w:sz w:val="24"/>
        </w:rPr>
        <w:t xml:space="preserve"> → </w:t>
      </w:r>
      <w:r>
        <w:rPr>
          <w:b/>
          <w:i w:val="0"/>
          <w:color w:val="3A4A60"/>
          <w:sz w:val="24"/>
        </w:rPr>
        <w:t>My Salary</w:t>
      </w:r>
      <w:r>
        <w:rPr>
          <w:b w:val="0"/>
          <w:i w:val="0"/>
          <w:color w:val="3A4A60"/>
          <w:sz w:val="24"/>
        </w:rPr>
        <w:t>. Every month the church has paid you, with the payslip for each.</w:t>
      </w:r>
    </w:p>
    <w:p>
      <w:pPr>
        <w:spacing w:after="120" w:line="283" w:lineRule="auto"/>
      </w:pPr>
      <w:r>
        <w:rPr>
          <w:b w:val="0"/>
          <w:i w:val="0"/>
          <w:sz w:val="21"/>
        </w:rPr>
        <w:t>Open a month to see what made it up — basic pay, allowances, EPF, SOCSO and the rest — and download the payslip as a PDF if you need it for a bank or a landlord.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Only you see this.</w:t>
            </w:r>
            <w:r>
              <w:rPr>
                <w:b w:val="0"/>
                <w:i w:val="0"/>
                <w:sz w:val="20"/>
              </w:rPr>
              <w:t xml:space="preserve"> Your pay is not visible to your EXCO Member, to the signing officers, or to anyone else who happens to be senior to you. If a figure looks wrong, the Finance Executive is the person to ask.</w:t>
            </w:r>
          </w:p>
        </w:tc>
      </w:tr>
    </w:tbl>
    <w:p>
      <w:pPr>
        <w:spacing w:after="80"/>
      </w:pPr>
    </w:p>
    <w:p>
      <w:pPr>
        <w:pStyle w:val="Heading1"/>
        <w:spacing w:before="440" w:after="120"/>
        <w:keepNext/>
      </w:pPr>
      <w:r>
        <w:rPr>
          <w:rFonts w:ascii="Segoe UI Semibold" w:hAnsi="Segoe UI Semibold"/>
          <w:color w:val="2F5B9C"/>
          <w:sz w:val="34"/>
        </w:rPr>
        <w:t>If something is not right</w:t>
      </w:r>
    </w:p>
    <w:p>
      <w:pPr>
        <w:spacing w:after="200" w:line="283" w:lineRule="auto"/>
      </w:pPr>
      <w:r>
        <w:rPr>
          <w:b w:val="0"/>
          <w:i w:val="0"/>
          <w:color w:val="3A4A60"/>
          <w:sz w:val="24"/>
        </w:rPr>
        <w:t>Three things go wrong often enough to be worth saying plainly.</w:t>
      </w:r>
    </w:p>
    <w:p>
      <w:pPr>
        <w:pStyle w:val="Heading2"/>
        <w:spacing w:before="240" w:after="120"/>
        <w:keepNext/>
      </w:pPr>
      <w:r>
        <w:rPr>
          <w:rFonts w:ascii="Segoe UI Semibold" w:hAnsi="Segoe UI Semibold"/>
          <w:color w:val="1C2738"/>
          <w:sz w:val="25"/>
        </w:rPr>
        <w:t>The app shows less than this guide describes</w:t>
      </w:r>
    </w:p>
    <w:p>
      <w:pPr>
        <w:spacing w:after="120" w:line="283" w:lineRule="auto"/>
      </w:pPr>
      <w:r>
        <w:rPr>
          <w:b w:val="0"/>
          <w:i w:val="0"/>
          <w:sz w:val="21"/>
        </w:rPr>
        <w:t>Your role is probably not set yet, or is set to the wrong one. Your name and role are at the foot of the left-hand list. Ask the HQ office to correct it, then sign in again.</w:t>
      </w:r>
    </w:p>
    <w:p>
      <w:pPr>
        <w:pStyle w:val="Heading2"/>
        <w:spacing w:before="240" w:after="120"/>
        <w:keepNext/>
      </w:pPr>
      <w:r>
        <w:rPr>
          <w:rFonts w:ascii="Segoe UI Semibold" w:hAnsi="Segoe UI Semibold"/>
          <w:color w:val="1C2738"/>
          <w:sz w:val="25"/>
        </w:rPr>
        <w:t>You pressed save and nothing happened</w:t>
      </w:r>
    </w:p>
    <w:p>
      <w:pPr>
        <w:spacing w:after="120" w:line="283" w:lineRule="auto"/>
      </w:pPr>
      <w:r>
        <w:rPr>
          <w:b w:val="0"/>
          <w:i w:val="0"/>
          <w:sz w:val="21"/>
        </w:rPr>
        <w:t>Tell somebody rather than pressing it again. A save that does not happen, with no error, usually means the record is not yours to change — and it is worth knowing about rather than working around.</w:t>
      </w:r>
    </w:p>
    <w:p>
      <w:pPr>
        <w:pStyle w:val="Heading2"/>
        <w:spacing w:before="240" w:after="120"/>
        <w:keepNext/>
      </w:pPr>
      <w:r>
        <w:rPr>
          <w:rFonts w:ascii="Segoe UI Semibold" w:hAnsi="Segoe UI Semibold"/>
          <w:color w:val="1C2738"/>
          <w:sz w:val="25"/>
        </w:rPr>
        <w:t>Something has been waiting for days</w:t>
      </w:r>
    </w:p>
    <w:p>
      <w:pPr>
        <w:spacing w:after="120" w:line="283" w:lineRule="auto"/>
      </w:pPr>
      <w:r>
        <w:rPr>
          <w:b w:val="0"/>
          <w:i w:val="0"/>
          <w:sz w:val="21"/>
        </w:rPr>
        <w:t xml:space="preserve">Open it. Whatever it is waiting on is named on the item itself, with the step it has reached. For a payment request there is a </w:t>
      </w:r>
      <w:r>
        <w:rPr>
          <w:b/>
          <w:i w:val="0"/>
          <w:sz w:val="21"/>
        </w:rPr>
        <w:t>Remind</w:t>
      </w:r>
      <w:r>
        <w:rPr>
          <w:b w:val="0"/>
          <w:i w:val="0"/>
          <w:sz w:val="21"/>
        </w:rPr>
        <w:t xml:space="preserve"> button that emails the person it is sitting with — use it rather than wondering.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whole system, in one document.</w:t>
            </w:r>
            <w:r>
              <w:rPr>
                <w:b w:val="0"/>
                <w:i w:val="0"/>
                <w:sz w:val="20"/>
              </w:rPr>
              <w:t xml:space="preserve"> This guide covers your part of it. The full </w:t>
            </w:r>
            <w:r>
              <w:rPr>
                <w:b/>
                <w:i w:val="0"/>
                <w:sz w:val="20"/>
              </w:rPr>
              <w:t>LCM Finance &amp; HR Handbook</w:t>
            </w:r>
            <w:r>
              <w:rPr>
                <w:b w:val="0"/>
                <w:i w:val="0"/>
                <w:sz w:val="20"/>
              </w:rPr>
              <w:t xml:space="preserve"> describes everything — every role, every stage, the rules behind the approval limits — and the HQ office can send it to you.</w:t>
            </w:r>
          </w:p>
        </w:tc>
      </w:tr>
    </w:tbl>
    <w:p>
      <w:pPr>
        <w:spacing w:after="80"/>
      </w:pPr>
    </w:p>
    <w:p>
      <w:pPr>
        <w:spacing w:before="520" w:after="0"/>
      </w:pPr>
    </w:p>
    <w:p>
      <w:pPr>
        <w:spacing w:after="120" w:line="283" w:lineRule="auto"/>
      </w:pPr>
      <w:r>
        <w:rPr>
          <w:b w:val="0"/>
          <w:i w:val="0"/>
          <w:color w:val="6B7280"/>
          <w:sz w:val="18"/>
        </w:rPr>
        <w:t xml:space="preserve">Prepared for the Lutheran Church in Malaysia. This guide covers signing payment vouchers, and the budget line behind each one — the rest of the system is in the full </w:t>
      </w:r>
      <w:r>
        <w:rPr>
          <w:b/>
          <w:i w:val="0"/>
          <w:color w:val="6B7280"/>
          <w:sz w:val="18"/>
        </w:rPr>
        <w:t>LCM Finance &amp; HR Handbook</w:t>
      </w:r>
      <w:r>
        <w:rPr>
          <w:b w:val="0"/>
          <w:i w:val="0"/>
          <w:color w:val="6B7280"/>
          <w:sz w:val="18"/>
        </w:rPr>
        <w:t>, which the HQ office can send you. Anything unclear here is worth saying so: a step that needed explaining twice is a step written badly.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