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DXL 快速使用指南</w:t>
      </w:r>
    </w:p>
    <w:p>
      <w:pPr>
        <w:pStyle w:val="Subtitle"/>
      </w:pPr>
      <w:r>
        <w:t>版本 0.6  作者 LCPD15</w:t>
      </w:r>
    </w:p>
    <w:p>
      <w:r>
        <w:t>DXL（DLSS eXtended Loader）基于我之前的 RE DLSS5 Load Mod 扩充，目的是尽可能方便地在各类游戏中启用 DLSS NR。对于支持的游戏，工具可获取原生运动矢量并与帧生成配合，提供更高质量的效果；具体兼容性取决于游戏。</w:t>
      </w:r>
    </w:p>
    <w:p>
      <w:hyperlink r:id="rId10">
        <w:r>
          <w:rPr>
            <w:color w:val="25633C"/>
            <w:sz w:val="19"/>
          </w:rPr>
          <w:t>前作 GitHub</w:t>
        </w:r>
      </w:hyperlink>
      <w:r>
        <w:t xml:space="preserve">   |   </w:t>
      </w:r>
      <w:hyperlink r:id="rId11">
        <w:r>
          <w:rPr>
            <w:color w:val="25633C"/>
            <w:sz w:val="19"/>
          </w:rPr>
          <w:t>前作 Nexus Mods</w:t>
        </w:r>
      </w:hyperlink>
      <w:r>
        <w:t xml:space="preserve">   |   </w:t>
      </w:r>
      <w:hyperlink r:id="rId12">
        <w:r>
          <w:rPr>
            <w:color w:val="25633C"/>
            <w:sz w:val="19"/>
          </w:rPr>
          <w:t>DXL 项目</w:t>
        </w:r>
      </w:hyperlink>
    </w:p>
    <w:p>
      <w:pPr>
        <w:pStyle w:val="Heading2"/>
      </w:pPr>
      <w:r>
        <w:t>安装并启动游戏</w:t>
      </w:r>
    </w:p>
    <w:p>
      <w:pPr>
        <w:ind w:left="259" w:hanging="259"/>
      </w:pPr>
      <w:r>
        <w:rPr>
          <w:b/>
        </w:rPr>
        <w:t xml:space="preserve">1  </w:t>
      </w:r>
      <w:r>
        <w:t>完整解压发布包，运行 DXL.exe。保留包内全部文件。</w:t>
      </w:r>
    </w:p>
    <w:p>
      <w:pPr>
        <w:ind w:left="259" w:hanging="259"/>
      </w:pPr>
      <w:r>
        <w:rPr>
          <w:b/>
        </w:rPr>
        <w:t xml:space="preserve">2  </w:t>
      </w:r>
      <w:r>
        <w:t>在游戏库扫描已安装游戏，或点击“添加游戏”选择实际游戏 EXE。点击封面进入配置，检查路径；如游戏需要启动参数，在本游戏的启动项填写。</w:t>
      </w:r>
    </w:p>
    <w:p>
      <w:pPr>
        <w:ind w:left="259" w:hanging="259"/>
      </w:pPr>
      <w:r>
        <w:rPr>
          <w:b/>
        </w:rPr>
        <w:t xml:space="preserve">3  </w:t>
      </w:r>
      <w:r>
        <w:t>首次保留“自动”，点击“从工具启动游戏”。也可保持 DXL 和全局监控开启，再从平台或官方启动器启动已加入库的游戏。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017520" cy="715360"/>
            <wp:docPr id="1" name="Picture 1" descr="“从工具启动游戏”是配置页的绿色按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ool-profile.png"/>
                    <pic:cNvPicPr/>
                  </pic:nvPicPr>
                  <pic:blipFill>
                    <a:blip r:embed="rId13"/>
                    <a:srcRect l="16369" t="28967" r="68854" b="6517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71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“从工具启动游戏”是配置页的绿色按钮。</w:t>
      </w:r>
    </w:p>
    <w:p>
      <w:pPr>
        <w:ind w:left="259" w:hanging="259"/>
      </w:pPr>
      <w:r>
        <w:rPr>
          <w:b/>
        </w:rPr>
        <w:t xml:space="preserve">4  </w:t>
      </w:r>
      <w:r>
        <w:t>进入游戏后按 Del 开启 NR，按 End 打开面板。首次总开关默认关闭；后续保留该游戏保存的状态。调整参数会自动保存。</w:t>
      </w:r>
    </w:p>
    <w:p>
      <w:pPr>
        <w:pStyle w:val="Heading2"/>
      </w:pPr>
      <w:r>
        <w:t>游戏内快捷键</w:t>
      </w:r>
    </w:p>
    <w:p>
      <w:r>
        <w:t>Del：开关效果  •  End：开关面板  •  Alt + F8：对当前游戏窗口手动尝试加载。Esc 或面板右上角 × 可关闭面板。快捷键可在全局设置修改。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33881"/>
            <wp:docPr id="2" name="Picture 2" descr="启动时机从左到右：自动、尽早、兼容模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ool-profile.png"/>
                    <pic:cNvPicPr/>
                  </pic:nvPicPr>
                  <pic:blipFill>
                    <a:blip r:embed="rId13"/>
                    <a:srcRect l="16624" t="66347" r="45159" b="2236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33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启动时机从左到右：自动、尽早、兼容模式。</w:t>
      </w:r>
    </w:p>
    <w:p>
      <w:r>
        <w:t>如果加载无效或启动异常，退出游戏，切换“兼容模式”后重试。兼容模式可能无法获取原生 DLSS 数据；需要帧生成时，优先使用游戏内 DLSS 超分，并尝试“自动”或“尽早”。</w:t>
      </w:r>
    </w:p>
    <w:p>
      <w:r>
        <w:br w:type="page"/>
      </w:r>
    </w:p>
    <w:p>
      <w:pPr>
        <w:pStyle w:val="Heading1"/>
      </w:pPr>
      <w:r>
        <w:t>调整 NR 效果</w:t>
      </w:r>
    </w:p>
    <w:p>
      <w:r>
        <w:t>按 End 打开面板，在同一画面一次调整一项，再按 Del 对比。表中默认值适用于新配置。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3" w:type="dxa"/>
          <w:bottom w:w="83" w:type="dxa"/>
          <w:left w:w="95" w:type="dxa"/>
          <w:right w:w="95" w:type="dxa"/>
        </w:tblCellMar>
      </w:tblPr>
      <w:tblGrid>
        <w:gridCol w:w="2520"/>
        <w:gridCol w:w="1872"/>
        <w:gridCol w:w="5702"/>
      </w:tblGrid>
      <w:tr>
        <w:trPr>
          <w:cantSplit/>
          <w:tblHeader/>
        </w:trPr>
        <w:tc>
          <w:tcPr>
            <w:tcW w:type="dxa" w:w="2520"/>
            <w:vAlign w:val="center"/>
            <w:shd w:fill="303638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1872"/>
            <w:vAlign w:val="center"/>
            <w:shd w:fill="303638"/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范围与默认</w:t>
            </w:r>
          </w:p>
        </w:tc>
        <w:tc>
          <w:tcPr>
            <w:tcW w:type="dxa" w:w="5702"/>
            <w:vAlign w:val="center"/>
            <w:shd w:fill="303638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5F4"/>
          </w:tcPr>
          <w:p>
            <w:pPr>
              <w:spacing w:after="0" w:line="245" w:lineRule="auto"/>
            </w:pPr>
            <w:r>
              <w:rPr>
                <w:sz w:val="19"/>
              </w:rPr>
              <w:t>强度</w:t>
              <w:br/>
              <w:t>Intensity</w:t>
            </w:r>
          </w:p>
        </w:tc>
        <w:tc>
          <w:tcPr>
            <w:tcW w:type="dxa" w:w="1872"/>
            <w:vAlign w:val="center"/>
            <w:shd w:fill="F4F5F4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0–1 / 1</w:t>
            </w:r>
          </w:p>
        </w:tc>
        <w:tc>
          <w:tcPr>
            <w:tcW w:type="dxa" w:w="5702"/>
            <w:vAlign w:val="center"/>
            <w:shd w:fill="F4F5F4"/>
          </w:tcPr>
          <w:p>
            <w:pPr>
              <w:spacing w:after="0" w:line="245" w:lineRule="auto"/>
            </w:pPr>
            <w:r>
              <w:rPr>
                <w:sz w:val="19"/>
              </w:rPr>
              <w:t>调节增强强度。调低强度不会停止模型计算。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色彩强度</w:t>
              <w:br/>
              <w:t>Colour Strength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0–1 / 1</w:t>
            </w:r>
          </w:p>
        </w:tc>
        <w:tc>
          <w:tcPr>
            <w:tcW w:type="dxa" w:w="5702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0 保留原图颜色比例，仍保留 NR 明暗与细节；1 保留 NR 色彩。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5F4"/>
          </w:tcPr>
          <w:p>
            <w:pPr>
              <w:spacing w:after="0" w:line="245" w:lineRule="auto"/>
            </w:pPr>
            <w:r>
              <w:rPr>
                <w:sz w:val="19"/>
              </w:rPr>
              <w:t>风格与预设</w:t>
              <w:br/>
              <w:t>Style / Preset</w:t>
            </w:r>
          </w:p>
        </w:tc>
        <w:tc>
          <w:tcPr>
            <w:tcW w:type="dxa" w:w="1872"/>
            <w:vAlign w:val="center"/>
            <w:shd w:fill="F4F5F4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电影风格</w:t>
              <w:br/>
              <w:t>预设 0</w:t>
            </w:r>
          </w:p>
        </w:tc>
        <w:tc>
          <w:tcPr>
            <w:tcW w:type="dxa" w:w="5702"/>
            <w:vAlign w:val="center"/>
            <w:shd w:fill="F4F5F4"/>
          </w:tcPr>
          <w:p>
            <w:pPr>
              <w:spacing w:after="0" w:line="245" w:lineRule="auto"/>
            </w:pPr>
            <w:r>
              <w:rPr>
                <w:sz w:val="19"/>
              </w:rPr>
              <w:t>按喜好比较默认、自然、电影风格；预设先保留默认。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局部色调与结构</w:t>
              <w:br/>
              <w:t>Local Tone / Structure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0–2 / 1</w:t>
            </w:r>
          </w:p>
        </w:tc>
        <w:tc>
          <w:tcPr>
            <w:tcW w:type="dxa" w:w="5702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分别调节局部色调响应和结构增强。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5F4"/>
          </w:tcPr>
          <w:p>
            <w:pPr>
              <w:spacing w:after="0" w:line="245" w:lineRule="auto"/>
            </w:pPr>
            <w:r>
              <w:rPr>
                <w:sz w:val="19"/>
              </w:rPr>
              <w:t>皮肤强度</w:t>
              <w:br/>
              <w:t>Skin Strength</w:t>
            </w:r>
          </w:p>
        </w:tc>
        <w:tc>
          <w:tcPr>
            <w:tcW w:type="dxa" w:w="1872"/>
            <w:vAlign w:val="center"/>
            <w:shd w:fill="F4F5F4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面板 0–1</w:t>
              <w:br/>
              <w:t>默认 0.6</w:t>
            </w:r>
          </w:p>
        </w:tc>
        <w:tc>
          <w:tcPr>
            <w:tcW w:type="dxa" w:w="5702"/>
            <w:vAlign w:val="center"/>
            <w:shd w:fill="F4F5F4"/>
          </w:tcPr>
          <w:p>
            <w:pPr>
              <w:spacing w:after="0" w:line="245" w:lineRule="auto"/>
            </w:pPr>
            <w:r>
              <w:rPr>
                <w:sz w:val="19"/>
              </w:rPr>
              <w:t>调节皮肤相关结构；过高不一定更自然。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NR 渲染缩放</w:t>
              <w:br/>
              <w:t>NR Render Scale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0.5–1 / 1</w:t>
            </w:r>
          </w:p>
        </w:tc>
        <w:tc>
          <w:tcPr>
            <w:tcW w:type="dxa" w:w="5702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降低 NR 处理分辨率以节省性能，最终游戏输出分辨率不变。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5F4"/>
          </w:tcPr>
          <w:p>
            <w:pPr>
              <w:spacing w:after="0" w:line="245" w:lineRule="auto"/>
            </w:pPr>
            <w:r>
              <w:rPr>
                <w:sz w:val="19"/>
              </w:rPr>
              <w:t>自叠层</w:t>
              <w:br/>
              <w:t>Self Layers</w:t>
            </w:r>
          </w:p>
        </w:tc>
        <w:tc>
          <w:tcPr>
            <w:tcW w:type="dxa" w:w="1872"/>
            <w:vAlign w:val="center"/>
            <w:shd w:fill="F4F5F4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1–3 连续值</w:t>
              <w:br/>
              <w:t>默认 1</w:t>
            </w:r>
          </w:p>
        </w:tc>
        <w:tc>
          <w:tcPr>
            <w:tcW w:type="dxa" w:w="5702"/>
            <w:vAlign w:val="center"/>
            <w:shd w:fill="F4F5F4"/>
          </w:tcPr>
          <w:p>
            <w:pPr>
              <w:spacing w:after="0" w:line="245" w:lineRule="auto"/>
            </w:pPr>
            <w:r>
              <w:rPr>
                <w:sz w:val="19"/>
              </w:rPr>
              <w:t>放大 NR 效果差值，不增加模型推理次数。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真叠层</w:t>
              <w:br/>
              <w:t>True NR Layers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1–5 整数</w:t>
              <w:br/>
              <w:t>默认 1</w:t>
            </w:r>
          </w:p>
        </w:tc>
        <w:tc>
          <w:tcPr>
            <w:tcW w:type="dxa" w:w="5702"/>
            <w:vAlign w:val="center"/>
            <w:shd w:fill="FFFFFF"/>
          </w:tcPr>
          <w:p>
            <w:pPr>
              <w:spacing w:after="0" w:line="245" w:lineRule="auto"/>
            </w:pPr>
            <w:r>
              <w:rPr>
                <w:sz w:val="19"/>
              </w:rPr>
              <w:t>连续执行多次 NR，增加 GPU 耗时和显存占用。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5F4"/>
          </w:tcPr>
          <w:p>
            <w:pPr>
              <w:spacing w:after="0" w:line="245" w:lineRule="auto"/>
            </w:pPr>
            <w:r>
              <w:rPr>
                <w:sz w:val="19"/>
              </w:rPr>
              <w:t>自动光流</w:t>
              <w:br/>
              <w:t>Optical Flow</w:t>
            </w:r>
          </w:p>
        </w:tc>
        <w:tc>
          <w:tcPr>
            <w:tcW w:type="dxa" w:w="1872"/>
            <w:vAlign w:val="center"/>
            <w:shd w:fill="F4F5F4"/>
          </w:tcPr>
          <w:p>
            <w:pPr>
              <w:spacing w:after="0" w:line="245" w:lineRule="auto"/>
              <w:jc w:val="center"/>
            </w:pPr>
            <w:r>
              <w:rPr>
                <w:sz w:val="19"/>
              </w:rPr>
              <w:t>默认开启</w:t>
              <w:br/>
              <w:t>平衡档</w:t>
            </w:r>
          </w:p>
        </w:tc>
        <w:tc>
          <w:tcPr>
            <w:tcW w:type="dxa" w:w="5702"/>
            <w:vAlign w:val="center"/>
            <w:shd w:fill="F4F5F4"/>
          </w:tcPr>
          <w:p>
            <w:pPr>
              <w:spacing w:after="0" w:line="245" w:lineRule="auto"/>
            </w:pPr>
            <w:r>
              <w:rPr>
                <w:sz w:val="19"/>
              </w:rPr>
              <w:t>优先使用已启用且可用的原生矢量，否则计算光流。性能、平衡、质量三档可选。</w:t>
            </w:r>
          </w:p>
        </w:tc>
      </w:tr>
    </w:tbl>
    <w:p>
      <w:pPr>
        <w:spacing w:after="0"/>
      </w:pPr>
    </w:p>
    <w:p>
      <w:r>
        <w:t>性能不足时，先将真叠层设为 1，再降低 NR 缩放，必要时降低光流质量。Auto Mask 和 UI Correction 可先保留默认；正常看画面时将 Debug view 设为 Off。</w:t>
      </w:r>
    </w:p>
    <w:p>
      <w:pPr>
        <w:pStyle w:val="Heading2"/>
      </w:pPr>
      <w:r>
        <w:t>语义蒙板为实验性功能</w:t>
      </w:r>
    </w:p>
    <w:p>
      <w:r>
        <w:t>完整包已带识别模型，功能默认关闭。开启后，勾选人物、车辆等类别并调节区域强度；未勾选的对象按背景强度处理。可先试背景 1、人物 0，再用“蒙板预览（R）”检查位置。</w:t>
      </w:r>
    </w:p>
    <w:p>
      <w:r>
        <w:t>强度范围 0–1，边缘羽化默认 8，可缓和硬边界。识别效果可能不好，特别是二次元、遮挡和小物体；出现误识别或不自然边缘时，可关闭此功能。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调色与滤镜</w:t>
      </w:r>
    </w:p>
    <w:p>
      <w:pPr>
        <w:spacing w:after="140"/>
      </w:pPr>
      <w:r>
        <w:t>按 End 打开面板，在 DLSSNR 旁选择“调色”。开关紧邻参数值；重置只恢复数值，保留开关状态。设置按游戏保存，关闭的效果跳过处理。</w:t>
      </w:r>
    </w:p>
    <w:p>
      <w:pPr>
        <w:pStyle w:val="Heading2"/>
      </w:pPr>
      <w:r>
        <w:rPr>
          <w:color w:val="000000"/>
        </w:rPr>
        <w:t>基础调色</w:t>
      </w:r>
    </w:p>
    <w:p>
      <w:pPr>
        <w:spacing w:after="140"/>
      </w:pPr>
      <w:r>
        <w:t>曝光、对比度、饱和度、色温、色偏、阴影、中间调和高光调整游戏图像。在原生 SR 路径中通常位于游戏 UI 之前，可能受到游戏后续曝光与色调映射影响。</w:t>
      </w:r>
    </w:p>
    <w:p>
      <w:pPr>
        <w:pStyle w:val="Heading2"/>
      </w:pPr>
      <w:r>
        <w:rPr>
          <w:color w:val="000000"/>
        </w:rPr>
        <w:t>最终画面后处理</w:t>
      </w:r>
    </w:p>
    <w:p>
      <w:pPr>
        <w:spacing w:after="140"/>
      </w:pPr>
      <w:r>
        <w:t>LUT、锐化、柔光、暗角、胶片颗粒、黑白与自定义效果在最终画面上处理，也会影响游戏 UI。不依赖 NR 开关或 NR 菜单暂停，但需要安全可用的呈现路径，仍受帧生成兼容性保护。</w:t>
        <w:br/>
        <w:t>锐化和柔光强度范围均为 0–3。展开“柔光细节”可调高光阈值（0–2，默认 0.65）、阈值柔和度（0–1，默认 0.5）、光晕半径（0.25–3，默认 1）、扩散（0–1，默认 0.7）及光晕饱和度（0–2，默认 1）。细节参数随柔光开关启用；各自的重置只恢复数值。</w:t>
      </w:r>
    </w:p>
    <w:p>
      <w:pPr>
        <w:pStyle w:val="Heading2"/>
      </w:pPr>
      <w:r>
        <w:rPr>
          <w:color w:val="000000"/>
        </w:rPr>
        <w:t>使用 PNG LUT</w:t>
      </w:r>
    </w:p>
    <w:p>
      <w:pPr>
        <w:spacing w:after="140"/>
      </w:pPr>
      <w:r>
        <w:t>将 PNG 调色表直接放入 DXL.exe 同目录的 lut 文件夹，在“调色”中选择文件、开启 LUT 并调整强度。</w:t>
      </w:r>
    </w:p>
    <w:p>
      <w:pPr>
        <w:spacing w:after="140"/>
      </w:pPr>
      <w:r>
        <w:t>Neutral-16.png 是不改变颜色的中性模板。可在图像软件中只做颜色调整，再另存为新文件名；不要缩放、裁切、旋转或模糊。普通照片不能作为 LUT。</w:t>
      </w:r>
    </w:p>
    <w:p>
      <w:pPr>
        <w:spacing w:after="140"/>
      </w:pPr>
      <w:r>
        <w:t>模板由十六个 16 × 16 方块组成，其他布局见 lut/README.md。更新保留自行添加的文件，但会替换随包示例；修改示例时请另存新文件名。</w:t>
      </w:r>
    </w:p>
    <w:p>
      <w:pPr>
        <w:spacing w:after="140"/>
      </w:pPr>
      <w:r>
        <w:t>在“额外功能 &gt; 后处理”打开文件夹，放入原生 ReShade .fx 及所需 .fxh、纹理，保持相对目录，再在“调色 &gt; 自定义 FX”重新加载。每个 technique 独立开关，参数按游戏保存，重置只恢复数值。原有 DXL FX 仍可用；先执行 DXL 效果，再按文件名执行 ReShade 效果。原文件保留不变。支持多遍处理和外部纹理；不提供游戏深度、运动矢量、add-on 及键鼠来源变量。用法及制作说明见 post-processing/README.md。</w:t>
      </w:r>
    </w:p>
    <w:sectPr w:rsidR="00FC693F" w:rsidRPr="0006063C" w:rsidSect="00034616">
      <w:footerReference w:type="default" r:id="rId9"/>
      <w:pgSz w:w="11909" w:h="16834"/>
      <w:pgMar w:top="864" w:right="907" w:bottom="864" w:left="907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DXL 0.6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4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54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微软雅黑" w:hAnsi="微软雅黑" w:eastAsia="微软雅黑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4" w:lineRule="auto" w:after="120"/>
    </w:pPr>
    <w:rPr>
      <w:rFonts w:ascii="微软雅黑" w:hAnsi="微软雅黑" w:eastAsia="微软雅黑"/>
      <w:b w:val="0"/>
      <w:bCs/>
      <w:color w:val="55555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LCPD15/RE_DLSS5_Load_Mod" TargetMode="External"/><Relationship Id="rId11" Type="http://schemas.openxmlformats.org/officeDocument/2006/relationships/hyperlink" Target="https://www.nexusmods.com/onimushawayofthesword/mods/32" TargetMode="External"/><Relationship Id="rId12" Type="http://schemas.openxmlformats.org/officeDocument/2006/relationships/hyperlink" Target="https://github.com/LCPD15/DXL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DXL 快速使用指南</dc:title>
  <dc:subject/>
  <dc:creator>LCPD15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