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計畫書</w:t>
      </w:r>
    </w:p>
    <w:p>
      <w:pPr>
        <w:pStyle w:val="Author"/>
      </w:pPr>
      <w:r>
        <w:t xml:space="preserve">(待補上)</w:t>
      </w:r>
    </w:p>
    <w:p>
      <w:pPr>
        <w:pStyle w:val="Date"/>
      </w:pPr>
      <w:r>
        <w:t xml:space="preserve">2021/7/26</w:t>
      </w:r>
    </w:p>
    <w:bookmarkStart w:id="20" w:name="緒論"/>
    <w:p>
      <w:pPr>
        <w:pStyle w:val="Heading2"/>
      </w:pPr>
      <w:r>
        <w:t xml:space="preserve">緒論</w:t>
      </w:r>
    </w:p>
    <w:p>
      <w:pPr>
        <w:pStyle w:val="FirstParagraph"/>
      </w:pPr>
      <w:r>
        <w:t xml:space="preserve">本研究重製</w:t>
      </w:r>
      <w:r>
        <w:t xml:space="preserve"> </w:t>
      </w:r>
      <w:r>
        <w:t xml:space="preserve">Boot et al. (2021)</w:t>
      </w:r>
      <w:r>
        <w:t xml:space="preserve"> </w:t>
      </w:r>
      <w:r>
        <w:t xml:space="preserve">的問卷調查及假設分析，探討台灣地區民眾相信正確及錯誤疫情資訊的認知動機因素。</w:t>
      </w:r>
    </w:p>
    <w:p>
      <w:pPr>
        <w:pStyle w:val="BodyText"/>
      </w:pPr>
      <w:r>
        <w:t xml:space="preserve">認知動機是什麼？</w:t>
      </w:r>
      <w:r>
        <w:t xml:space="preserve"> </w:t>
      </w:r>
      <w:r>
        <w:t xml:space="preserve">1. Need for cognition(認知需求)</w:t>
      </w:r>
    </w:p>
    <w:p>
      <w:pPr>
        <w:pStyle w:val="BodyText"/>
      </w:pPr>
      <w:r>
        <w:t xml:space="preserve">問卷來源文獻:</w:t>
      </w:r>
      <w:r>
        <w:t xml:space="preserve"> </w:t>
      </w:r>
      <w:r>
        <w:t xml:space="preserve">Cacioppo and Petty (1982)</w:t>
      </w:r>
      <w:r>
        <w:t xml:space="preserve">;</w:t>
      </w:r>
    </w:p>
    <w:p>
      <w:pPr>
        <w:pStyle w:val="BodyText"/>
      </w:pPr>
      <w:r>
        <w:t xml:space="preserve">Cacioppo, Petty, and Kao (1984)</w:t>
      </w:r>
    </w:p>
    <w:bookmarkEnd w:id="20"/>
    <w:bookmarkStart w:id="22" w:name="在gathering-reference裡面的6.19nc-問卷"/>
    <w:p>
      <w:pPr>
        <w:pStyle w:val="Heading1"/>
      </w:pPr>
      <w:r>
        <w:t xml:space="preserve">在Gathering Reference裡面的6.19(NC 問卷)</w:t>
      </w:r>
    </w:p>
    <w:p>
      <w:pPr>
        <w:pStyle w:val="FirstParagraph"/>
      </w:pPr>
      <w:r>
        <w:t xml:space="preserve">1-1 求與創業警覺性的 關係：創業團隊內一致性壓力 知覺的調節效果 黃瓊億 Chiung Yi Huang et.al</w:t>
      </w:r>
    </w:p>
    <w:p>
      <w:pPr>
        <w:pStyle w:val="BodyText"/>
      </w:pPr>
      <w:r>
        <w:t xml:space="preserve">1-2. 團隊安全感氛圍與團隊認知閉合需求對資訊分享與創新績效的影響 Chiung Yi Huang et.al</w:t>
      </w:r>
    </w:p>
    <w:p>
      <w:pPr>
        <w:numPr>
          <w:ilvl w:val="0"/>
          <w:numId w:val="1001"/>
        </w:numPr>
        <w:pStyle w:val="Compact"/>
      </w:pPr>
      <w:r>
        <w:t xml:space="preserve">Need for cognitive closure(認知停歇需求)</w:t>
      </w:r>
    </w:p>
    <w:p>
      <w:pPr>
        <w:pStyle w:val="FirstParagraph"/>
      </w:pPr>
      <w:r>
        <w:t xml:space="preserve">問卷來源文獻:</w:t>
      </w:r>
      <w:r>
        <w:t xml:space="preserve"> </w:t>
      </w:r>
      <w:r>
        <w:t xml:space="preserve">Kruglanski et al. (1997)</w:t>
      </w:r>
    </w:p>
    <w:bookmarkStart w:id="21" w:name="X955b598717f03c25f68b501017b2e92a230ecce"/>
    <w:p>
      <w:pPr>
        <w:pStyle w:val="Heading2"/>
      </w:pPr>
      <w:r>
        <w:t xml:space="preserve">目前在其他研究中發現</w:t>
      </w:r>
      <w:r>
        <w:t xml:space="preserve"> </w:t>
      </w:r>
      <w:r>
        <w:t xml:space="preserve">(</w:t>
      </w:r>
      <w:r>
        <w:rPr>
          <w:bCs/>
          <w:b/>
        </w:rPr>
        <w:t xml:space="preserve">Kruglanski?</w:t>
      </w:r>
      <w:r>
        <w:t xml:space="preserve">)</w:t>
      </w:r>
      <w:r>
        <w:t xml:space="preserve">, Arie W, Atash, M, DeGrada, Eraldo, Mannetti, Lucia, Pierro, Antonio, &amp; Webster, Donna M. (1997).</w:t>
      </w:r>
    </w:p>
    <w:bookmarkEnd w:id="21"/>
    <w:bookmarkEnd w:id="22"/>
    <w:bookmarkStart w:id="36" w:name="在gathering-reference裡面的9"/>
    <w:p>
      <w:pPr>
        <w:pStyle w:val="Heading1"/>
      </w:pPr>
      <w:r>
        <w:t xml:space="preserve">在Gathering Reference裡面的9</w:t>
      </w:r>
    </w:p>
    <w:p>
      <w:pPr>
        <w:pStyle w:val="FirstParagraph"/>
      </w:pPr>
      <w:r>
        <w:t xml:space="preserve">2-1. 探索結論需求對獎勵計畫與忠誠度關聯性之影響 (暫時保留)</w:t>
      </w:r>
      <w:r>
        <w:t xml:space="preserve"> </w:t>
      </w:r>
      <w:r>
        <w:t xml:space="preserve">2-2. 不同決策特質與搜尋時間壓力下部落格設計與使用者滿意度之探討.</w:t>
      </w:r>
      <w:r>
        <w:t xml:space="preserve"> </w:t>
      </w:r>
      <w:r>
        <w:t xml:space="preserve">(有引用到，但不確定有沒有權限可以下載)</w:t>
      </w:r>
    </w:p>
    <w:p>
      <w:pPr>
        <w:pStyle w:val="BodyText"/>
      </w:pPr>
      <w:r>
        <w:t xml:space="preserve">—– 以下是找過，但沒有引用上述文獻的研究</w:t>
      </w:r>
    </w:p>
    <w:p>
      <w:pPr>
        <w:pStyle w:val="BodyText"/>
      </w:pPr>
      <w:r>
        <w:t xml:space="preserve">@ 0806 以下是 NCC 沒有引用 Kruglanski 1997 的文獻</w:t>
      </w:r>
      <w:r>
        <w:t xml:space="preserve"> </w:t>
      </w:r>
      <w:r>
        <w:t xml:space="preserve">1. 認知重評與認知閉合需求間交互作用對心理健康的影響</w:t>
      </w:r>
      <w:r>
        <w:t xml:space="preserve"> </w:t>
      </w:r>
      <w:r>
        <w:t xml:space="preserve">2. 團隊創新氛圍與團隊認知閉合需求對資訊分享與創新績效的影響</w:t>
      </w:r>
      <w:r>
        <w:t xml:space="preserve"> </w:t>
      </w:r>
      <w:r>
        <w:t xml:space="preserve">3.態度一致性與情緒喚起對線上謠言判斷之影響</w:t>
      </w:r>
    </w:p>
    <w:p>
      <w:pPr>
        <w:numPr>
          <w:ilvl w:val="0"/>
          <w:numId w:val="1002"/>
        </w:numPr>
        <w:pStyle w:val="Compact"/>
      </w:pPr>
      <w:r>
        <w:t xml:space="preserve">特別，不知道有沒有權限可以瀏覽 (香港城市大學)</w:t>
      </w:r>
    </w:p>
    <w:p>
      <w:pPr>
        <w:pStyle w:val="FirstParagraph"/>
      </w:pPr>
      <w:r>
        <w:t xml:space="preserve">選擇性接觸, 擴展性接觸, 旁導性接觸: 互聯網時代媒體信息接觸理論分析</w:t>
      </w:r>
    </w:p>
    <w:p>
      <w:pPr>
        <w:numPr>
          <w:ilvl w:val="0"/>
          <w:numId w:val="1003"/>
        </w:numPr>
        <w:pStyle w:val="Compact"/>
      </w:pPr>
      <w:r>
        <w:t xml:space="preserve">華人開放性與畫作偏好之關係：以認知閉合需求為中介.</w:t>
      </w:r>
    </w:p>
    <w:p>
      <w:pPr>
        <w:pStyle w:val="BlockText"/>
      </w:pPr>
      <w:r>
        <w:t xml:space="preserve">尋找有引用上述文獻的中文文獻；整理曾被用來探討的主題。</w:t>
      </w:r>
    </w:p>
    <w:p>
      <w:pPr>
        <w:pStyle w:val="FirstParagraph"/>
      </w:pPr>
      <w:r>
        <w:t xml:space="preserve">疫情資訊的樣態</w:t>
      </w:r>
    </w:p>
    <w:p>
      <w:pPr>
        <w:pStyle w:val="BodyText"/>
      </w:pPr>
      <w:r>
        <w:t xml:space="preserve">民眾對疫情資訊的信任度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Boot et al.(2021)原始假設</w:t>
            </w:r>
          </w:p>
        </w:tc>
        <w:tc>
          <w:p>
            <w:pPr>
              <w:pStyle w:val="Compact"/>
              <w:jc w:val="left"/>
            </w:pPr>
            <w:r>
              <w:t xml:space="preserve">結果支持狀況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H1a: 高NC者對疫情的正確認識高於低NC者</w:t>
            </w:r>
          </w:p>
        </w:tc>
        <w:tc>
          <w:p>
            <w:pPr>
              <w:pStyle w:val="Compact"/>
              <w:jc w:val="left"/>
            </w:pPr>
            <w:r>
              <w:t xml:space="preserve">充分支持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H1b: 高NC者更新疫情資訊的頻率高於低NC者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H1c: 高NC者依賴新媒體及可靠管道獲取最新疫情資訊來源的程度高於低NC者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H2: 高NCC者比低NCC者對個人認為是真實的資訊更有信心</w:t>
            </w:r>
          </w:p>
        </w:tc>
        <w:tc>
          <w:p>
            <w:pPr>
              <w:pStyle w:val="Compact"/>
              <w:jc w:val="left"/>
            </w:pPr>
            <w:r>
              <w:t xml:space="preserve">部分支持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H3: 低認知動機者(低NC,低NCC)容易接受流言說法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</w:tr>
    </w:tbl>
    <w:bookmarkStart w:id="23" w:name="方法"/>
    <w:p>
      <w:pPr>
        <w:pStyle w:val="Heading2"/>
      </w:pPr>
      <w:r>
        <w:t xml:space="preserve">方法</w:t>
      </w:r>
    </w:p>
    <w:p>
      <w:pPr>
        <w:pStyle w:val="FirstParagraph"/>
      </w:pPr>
      <w:r>
        <w:t xml:space="preserve">問卷內容(依原始問卷腳本施測次序):</w:t>
      </w:r>
    </w:p>
    <w:p>
      <w:pPr>
        <w:numPr>
          <w:ilvl w:val="0"/>
          <w:numId w:val="1004"/>
        </w:numPr>
        <w:pStyle w:val="Compact"/>
      </w:pPr>
      <w:r>
        <w:t xml:space="preserve">疫情資訊可信度評估(Q1)：12條真實資訊, 12條不實資訊, 8條流言說法</w:t>
      </w:r>
    </w:p>
    <w:p>
      <w:pPr>
        <w:numPr>
          <w:ilvl w:val="0"/>
          <w:numId w:val="1004"/>
        </w:numPr>
        <w:pStyle w:val="Compact"/>
      </w:pPr>
      <w:r>
        <w:t xml:space="preserve">人口背景調查(Q2 ~ Q7)</w:t>
      </w:r>
    </w:p>
    <w:p>
      <w:pPr>
        <w:numPr>
          <w:ilvl w:val="0"/>
          <w:numId w:val="1004"/>
        </w:numPr>
        <w:pStyle w:val="Compact"/>
      </w:pPr>
      <w:r>
        <w:t xml:space="preserve">媒體使用狀況調查：使用平台(Q8), 每日使用時間(Q9),獲取最新資訊的來源種類(</w:t>
      </w:r>
      <w:r>
        <w:rPr>
          <w:bCs/>
          <w:b/>
        </w:rPr>
        <w:t xml:space="preserve">Q10</w:t>
      </w:r>
      <w:r>
        <w:t xml:space="preserve">) 獲取最新資訊的情境(</w:t>
      </w:r>
      <w:r>
        <w:rPr>
          <w:bCs/>
          <w:b/>
        </w:rPr>
        <w:t xml:space="preserve">Q10_1~4</w:t>
      </w:r>
      <w:r>
        <w:t xml:space="preserve">), 獲取最新資訊的頻率(</w:t>
      </w:r>
      <w:r>
        <w:rPr>
          <w:bCs/>
          <w:b/>
        </w:rPr>
        <w:t xml:space="preserve">Q12</w:t>
      </w:r>
      <w:r>
        <w:t xml:space="preserve">), 獲取最新資訊的動機(</w:t>
      </w:r>
      <w:r>
        <w:rPr>
          <w:bCs/>
          <w:b/>
        </w:rPr>
        <w:t xml:space="preserve">Q14</w:t>
      </w:r>
      <w:r>
        <w:t xml:space="preserve">), 動機調查填充題(Q14_1~5,Q15)</w:t>
      </w:r>
    </w:p>
    <w:p>
      <w:pPr>
        <w:numPr>
          <w:ilvl w:val="0"/>
          <w:numId w:val="1004"/>
        </w:numPr>
        <w:pStyle w:val="Compact"/>
      </w:pPr>
      <w:r>
        <w:t xml:space="preserve">認知動機問卷: NC(Q16),NCC(Q17)</w:t>
      </w:r>
    </w:p>
    <w:bookmarkEnd w:id="23"/>
    <w:bookmarkStart w:id="35" w:name="分析計畫"/>
    <w:p>
      <w:pPr>
        <w:pStyle w:val="Heading2"/>
      </w:pPr>
      <w:r>
        <w:t xml:space="preserve">分析計畫</w:t>
      </w:r>
    </w:p>
    <w:p>
      <w:pPr>
        <w:pStyle w:val="FirstParagraph"/>
      </w:pPr>
      <w:r>
        <w:t xml:space="preserve">(原研究第一波分析)</w:t>
      </w:r>
      <w:r>
        <w:t xml:space="preserve"> </w:t>
      </w:r>
      <w:r>
        <w:t xml:space="preserve">1. 疫情資訊回應資料的分類檢測：隨機選取200位參與者的資料進行確證性因素分析，分解兩種因素：Knowledge, Conspiracy Rejection</w:t>
      </w:r>
    </w:p>
    <w:p>
      <w:pPr>
        <w:numPr>
          <w:ilvl w:val="0"/>
          <w:numId w:val="1005"/>
        </w:numPr>
        <w:pStyle w:val="Compact"/>
      </w:pPr>
      <w:r>
        <w:t xml:space="preserve">確設性假設分析</w:t>
      </w:r>
    </w:p>
    <w:p>
      <w:pPr>
        <w:pStyle w:val="FirstParagraph"/>
      </w:pPr>
      <w:r>
        <w:t xml:space="preserve">檢測資料符合有Knowledge, Conspiracy Rejection的迴歸式之程度。</w:t>
      </w:r>
    </w:p>
    <w:p>
      <w:pPr>
        <w:pStyle w:val="BodyText"/>
      </w:pPr>
      <w:r>
        <w:t xml:space="preserve">(Q1 Knowledge, Conspiracy Rejection分別分析)</w:t>
      </w:r>
      <w:r>
        <w:t xml:space="preserve"> </w:t>
      </w:r>
      <w:r>
        <w:t xml:space="preserve">model 0: Q1 responses ~ 1</w:t>
      </w:r>
      <w:r>
        <w:t xml:space="preserve"> </w:t>
      </w:r>
      <w:r>
        <w:t xml:space="preserve">model 1: Q1 responses ~ NC X NCC</w:t>
      </w:r>
    </w:p>
    <w:p>
      <w:pPr>
        <w:numPr>
          <w:ilvl w:val="0"/>
          <w:numId w:val="1006"/>
        </w:numPr>
        <w:pStyle w:val="Compact"/>
      </w:pPr>
      <w:r>
        <w:t xml:space="preserve">H1a: 迴歸分析確認高NC者掌握資訊的正確度高於低NC者</w:t>
      </w:r>
    </w:p>
    <w:p>
      <w:pPr>
        <w:pStyle w:val="FirstParagraph"/>
      </w:pPr>
      <w:r>
        <w:t xml:space="preserve">(只分析Q1 Knowledge)</w:t>
      </w:r>
      <w:r>
        <w:t xml:space="preserve"> </w:t>
      </w:r>
      <w:r>
        <w:t xml:space="preserve">model 1的 NC 迴歸係數</w:t>
      </w:r>
    </w:p>
    <w:p>
      <w:pPr>
        <w:numPr>
          <w:ilvl w:val="0"/>
          <w:numId w:val="1007"/>
        </w:numPr>
        <w:pStyle w:val="Compact"/>
      </w:pPr>
      <w:r>
        <w:t xml:space="preserve">H1b: 迴歸分析無法支持高NC者更新疫情資訊的頻率高於低NC者</w:t>
      </w:r>
      <w:r>
        <w:t xml:space="preserve"> </w:t>
      </w:r>
      <w:r>
        <w:t xml:space="preserve">model 0: Q12 responses ~ 1</w:t>
      </w:r>
      <w:r>
        <w:t xml:space="preserve"> </w:t>
      </w:r>
      <w:r>
        <w:t xml:space="preserve">mode1 1: Q12 responses ~ NC*NCC</w:t>
      </w:r>
    </w:p>
    <w:p>
      <w:pPr>
        <w:pStyle w:val="FirstParagraph"/>
      </w:pPr>
      <w:r>
        <w:t xml:space="preserve">model 1的 NC 迴歸係數</w:t>
      </w:r>
    </w:p>
    <w:p>
      <w:pPr>
        <w:numPr>
          <w:ilvl w:val="0"/>
          <w:numId w:val="1008"/>
        </w:numPr>
        <w:pStyle w:val="Compact"/>
      </w:pPr>
      <w:r>
        <w:t xml:space="preserve">H1c: 集群分析無法支持高NC者依賴新媒體及可靠管道獲取最新疫情資訊來源的程度高於低NC者</w:t>
      </w:r>
    </w:p>
    <w:p>
      <w:pPr>
        <w:pStyle w:val="FirstParagraph"/>
      </w:pPr>
      <w:r>
        <w:t xml:space="preserve">集群分析綜合Q1, Q10, Q10_1~4, Q12, Q14, Q16, Q17</w:t>
      </w:r>
    </w:p>
    <w:p>
      <w:pPr>
        <w:numPr>
          <w:ilvl w:val="0"/>
          <w:numId w:val="1009"/>
        </w:numPr>
        <w:pStyle w:val="Compact"/>
      </w:pPr>
      <w:r>
        <w:t xml:space="preserve">H2: 描述統計顯示高NCC者比低NCC者認為是真實的資訊更有信心(</w:t>
      </w:r>
      <w:r>
        <w:t xml:space="preserve"> </w:t>
      </w:r>
      <w:hyperlink r:id="rId24">
        <w:r>
          <w:rPr>
            <w:rStyle w:val="Hyperlink"/>
          </w:rPr>
          <w:t xml:space="preserve">https://osf.io/8jfwe/</w:t>
        </w:r>
      </w:hyperlink>
      <w:r>
        <w:t xml:space="preserve"> </w:t>
      </w:r>
      <w:r>
        <w:t xml:space="preserve">Table 9,10 回答</w:t>
      </w:r>
      <w:r>
        <w:t xml:space="preserve">“</w:t>
      </w:r>
      <w:r>
        <w:t xml:space="preserve">I am sure this is true</w:t>
      </w:r>
      <w:r>
        <w:t xml:space="preserve">”</w:t>
      </w:r>
      <w:r>
        <w:t xml:space="preserve">/</w:t>
      </w:r>
      <w:r>
        <w:t xml:space="preserve">“</w:t>
      </w:r>
      <w:r>
        <w:t xml:space="preserve">I am sure this is not true</w:t>
      </w:r>
      <w:r>
        <w:t xml:space="preserve">”</w:t>
      </w:r>
      <w:r>
        <w:t xml:space="preserve">的分組信賴區間)；迴歸分析顯示高NCC者對真假資訊及流言說法，都有較高的信心。</w:t>
      </w:r>
    </w:p>
    <w:p>
      <w:pPr>
        <w:pStyle w:val="FirstParagraph"/>
      </w:pPr>
      <w:r>
        <w:t xml:space="preserve">(Q1 Knowledge, Conspiracy Rejection分別分析)</w:t>
      </w:r>
      <w:r>
        <w:t xml:space="preserve"> </w:t>
      </w:r>
      <w:r>
        <w:t xml:space="preserve">model 1的NCC迴歸係數</w:t>
      </w:r>
    </w:p>
    <w:p>
      <w:pPr>
        <w:numPr>
          <w:ilvl w:val="0"/>
          <w:numId w:val="1010"/>
        </w:numPr>
        <w:pStyle w:val="Compact"/>
      </w:pPr>
      <w:r>
        <w:t xml:space="preserve">H3: 迴歸分析無法支持低認知動機者(低NC,低NCC)容易接受流言說法</w:t>
      </w:r>
    </w:p>
    <w:p>
      <w:pPr>
        <w:pStyle w:val="FirstParagraph"/>
      </w:pPr>
      <w:r>
        <w:t xml:space="preserve">(只分析Q1 Conspiracy Rejection)</w:t>
      </w:r>
      <w:r>
        <w:t xml:space="preserve"> </w:t>
      </w:r>
      <w:r>
        <w:t xml:space="preserve">model 1 的 NC*NCC迴歸係數</w:t>
      </w:r>
    </w:p>
    <w:p>
      <w:pPr>
        <w:numPr>
          <w:ilvl w:val="0"/>
          <w:numId w:val="1011"/>
        </w:numPr>
        <w:pStyle w:val="Compact"/>
      </w:pPr>
      <w:r>
        <w:t xml:space="preserve">描述統計</w:t>
      </w:r>
    </w:p>
    <w:bookmarkStart w:id="34" w:name="參考文獻"/>
    <w:p>
      <w:pPr>
        <w:pStyle w:val="Heading3"/>
      </w:pPr>
      <w:r>
        <w:t xml:space="preserve">參考文獻</w:t>
      </w:r>
    </w:p>
    <w:bookmarkStart w:id="33" w:name="refs"/>
    <w:bookmarkStart w:id="26" w:name="X9c64651bef7f647c12fd47973ff5adc86cf9aee"/>
    <w:p>
      <w:pPr>
        <w:pStyle w:val="Bibliography"/>
      </w:pPr>
      <w:r>
        <w:t xml:space="preserve">Boot, Arnout B., Anita Eerland, Joran Jongerling, Peter P. J. L. Verkoeijen, and Rolf A. Zwaan. 2021.</w:t>
      </w:r>
      <w:r>
        <w:t xml:space="preserve"> </w:t>
      </w:r>
      <w:r>
        <w:t xml:space="preserve">“Gathering, Processing, and Interpreting Information about</w:t>
      </w:r>
      <w:r>
        <w:t xml:space="preserve"> </w:t>
      </w:r>
      <w:r>
        <w:t xml:space="preserve">COVID</w:t>
      </w:r>
      <w:r>
        <w:t xml:space="preserve">-19.”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11 (1, 1): 6569.</w:t>
      </w:r>
      <w:r>
        <w:t xml:space="preserve"> </w:t>
      </w:r>
      <w:hyperlink r:id="rId25">
        <w:r>
          <w:rPr>
            <w:rStyle w:val="Hyperlink"/>
          </w:rPr>
          <w:t xml:space="preserve">https://doi.org/10.1038/s41598-021-86088-3</w:t>
        </w:r>
      </w:hyperlink>
      <w:r>
        <w:t xml:space="preserve">.</w:t>
      </w:r>
    </w:p>
    <w:bookmarkEnd w:id="26"/>
    <w:bookmarkStart w:id="28" w:name="ref-cacioppoNeedCognition1982"/>
    <w:p>
      <w:pPr>
        <w:pStyle w:val="Bibliography"/>
      </w:pPr>
      <w:r>
        <w:t xml:space="preserve">Cacioppo, John T., and Richard E. Petty. 1982.</w:t>
      </w:r>
      <w:r>
        <w:t xml:space="preserve"> </w:t>
      </w:r>
      <w:r>
        <w:t xml:space="preserve">“The Need for Cognition.”</w:t>
      </w:r>
      <w:r>
        <w:t xml:space="preserve"> </w:t>
      </w:r>
      <w:r>
        <w:rPr>
          <w:iCs/>
          <w:i/>
        </w:rPr>
        <w:t xml:space="preserve">Journal of Personality and Social Psychology</w:t>
      </w:r>
      <w:r>
        <w:t xml:space="preserve"> </w:t>
      </w:r>
      <w:r>
        <w:t xml:space="preserve">42 (1): 116–31.</w:t>
      </w:r>
      <w:r>
        <w:t xml:space="preserve"> </w:t>
      </w:r>
      <w:hyperlink r:id="rId27">
        <w:r>
          <w:rPr>
            <w:rStyle w:val="Hyperlink"/>
          </w:rPr>
          <w:t xml:space="preserve">https://doi.org/10.1037/0022-3514.42.1.116</w:t>
        </w:r>
      </w:hyperlink>
      <w:r>
        <w:t xml:space="preserve">.</w:t>
      </w:r>
    </w:p>
    <w:bookmarkEnd w:id="28"/>
    <w:bookmarkStart w:id="30" w:name="ref-cacioppoEfficientAssessmentNeed1984"/>
    <w:p>
      <w:pPr>
        <w:pStyle w:val="Bibliography"/>
      </w:pPr>
      <w:r>
        <w:t xml:space="preserve">Cacioppo, John T., Richard E. Petty, and Chuan Feng Kao. 1984.</w:t>
      </w:r>
      <w:r>
        <w:t xml:space="preserve"> </w:t>
      </w:r>
      <w:r>
        <w:t xml:space="preserve">“The</w:t>
      </w:r>
      <w:r>
        <w:t xml:space="preserve"> </w:t>
      </w:r>
      <w:r>
        <w:t xml:space="preserve">Efficient Assessment</w:t>
      </w:r>
      <w:r>
        <w:t xml:space="preserve"> </w:t>
      </w:r>
      <w:r>
        <w:t xml:space="preserve">of</w:t>
      </w:r>
      <w:r>
        <w:t xml:space="preserve"> </w:t>
      </w:r>
      <w:r>
        <w:t xml:space="preserve">Need</w:t>
      </w:r>
      <w:r>
        <w:t xml:space="preserve"> </w:t>
      </w:r>
      <w:r>
        <w:t xml:space="preserve">for</w:t>
      </w:r>
      <w:r>
        <w:t xml:space="preserve"> </w:t>
      </w:r>
      <w:r>
        <w:t xml:space="preserve">Cognition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Personality Assessment</w:t>
      </w:r>
      <w:r>
        <w:t xml:space="preserve"> </w:t>
      </w:r>
      <w:r>
        <w:t xml:space="preserve">48 (3): 306–7.</w:t>
      </w:r>
      <w:r>
        <w:t xml:space="preserve"> </w:t>
      </w:r>
      <w:hyperlink r:id="rId29">
        <w:r>
          <w:rPr>
            <w:rStyle w:val="Hyperlink"/>
          </w:rPr>
          <w:t xml:space="preserve">https://doi.org/10.1207/s15327752jpa4803_13</w:t>
        </w:r>
      </w:hyperlink>
      <w:r>
        <w:t xml:space="preserve">.</w:t>
      </w:r>
    </w:p>
    <w:bookmarkEnd w:id="30"/>
    <w:bookmarkStart w:id="32" w:name="Xf10a0a12e0dc6e8f36f77b93e0800941138d7c9"/>
    <w:p>
      <w:pPr>
        <w:pStyle w:val="Bibliography"/>
      </w:pPr>
      <w:r>
        <w:t xml:space="preserve">Kruglanski, Arie W., M. Nadir Atash, Eraldo DeGrada, Lucia Mannetti, Antonio Pierro, and Donna M. Webster. 1997.</w:t>
      </w:r>
      <w:r>
        <w:t xml:space="preserve"> </w:t>
      </w:r>
      <w:r>
        <w:t xml:space="preserve">“Psychological Theory Testing Versus Psychometric Nay-Saying:</w:t>
      </w:r>
      <w:r>
        <w:t xml:space="preserve"> </w:t>
      </w:r>
      <w:r>
        <w:t xml:space="preserve">Comment</w:t>
      </w:r>
      <w:r>
        <w:t xml:space="preserve"> </w:t>
      </w:r>
      <w:r>
        <w:t xml:space="preserve">on</w:t>
      </w:r>
      <w:r>
        <w:t xml:space="preserve"> </w:t>
      </w:r>
      <w:r>
        <w:t xml:space="preserve">Neuberg</w:t>
      </w:r>
      <w:r>
        <w:t xml:space="preserve"> </w:t>
      </w:r>
      <w:r>
        <w:t xml:space="preserve">Et Al.’s (1997) Critique of the</w:t>
      </w:r>
      <w:r>
        <w:t xml:space="preserve"> </w:t>
      </w:r>
      <w:r>
        <w:t xml:space="preserve">Need</w:t>
      </w:r>
      <w:r>
        <w:t xml:space="preserve"> </w:t>
      </w:r>
      <w:r>
        <w:t xml:space="preserve">for</w:t>
      </w:r>
      <w:r>
        <w:t xml:space="preserve"> </w:t>
      </w:r>
      <w:r>
        <w:t xml:space="preserve">Closure Scale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Personality and Social Psychology</w:t>
      </w:r>
      <w:r>
        <w:t xml:space="preserve"> </w:t>
      </w:r>
      <w:r>
        <w:t xml:space="preserve">73 (5): 1005–16.</w:t>
      </w:r>
      <w:r>
        <w:t xml:space="preserve"> </w:t>
      </w:r>
      <w:hyperlink r:id="rId31">
        <w:r>
          <w:rPr>
            <w:rStyle w:val="Hyperlink"/>
          </w:rPr>
          <w:t xml:space="preserve">https://doi.org/10.1037/0022-3514.73.5.1005</w:t>
        </w:r>
      </w:hyperlink>
      <w:r>
        <w:t xml:space="preserve">.</w:t>
      </w:r>
    </w:p>
    <w:bookmarkEnd w:id="32"/>
    <w:bookmarkEnd w:id="33"/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i.org/10.1037/0022-3514.42.1.116" TargetMode="External" /><Relationship Type="http://schemas.openxmlformats.org/officeDocument/2006/relationships/hyperlink" Id="rId31" Target="https://doi.org/10.1037/0022-3514.73.5.1005" TargetMode="External" /><Relationship Type="http://schemas.openxmlformats.org/officeDocument/2006/relationships/hyperlink" Id="rId25" Target="https://doi.org/10.1038/s41598-021-86088-3" TargetMode="External" /><Relationship Type="http://schemas.openxmlformats.org/officeDocument/2006/relationships/hyperlink" Id="rId29" Target="https://doi.org/10.1207/s15327752jpa4803_13" TargetMode="External" /><Relationship Type="http://schemas.openxmlformats.org/officeDocument/2006/relationships/hyperlink" Id="rId24" Target="https://osf.io/8jfw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i.org/10.1037/0022-3514.42.1.116" TargetMode="External" /><Relationship Type="http://schemas.openxmlformats.org/officeDocument/2006/relationships/hyperlink" Id="rId31" Target="https://doi.org/10.1037/0022-3514.73.5.1005" TargetMode="External" /><Relationship Type="http://schemas.openxmlformats.org/officeDocument/2006/relationships/hyperlink" Id="rId25" Target="https://doi.org/10.1038/s41598-021-86088-3" TargetMode="External" /><Relationship Type="http://schemas.openxmlformats.org/officeDocument/2006/relationships/hyperlink" Id="rId29" Target="https://doi.org/10.1207/s15327752jpa4803_13" TargetMode="External" /><Relationship Type="http://schemas.openxmlformats.org/officeDocument/2006/relationships/hyperlink" Id="rId24" Target="https://osf.io/8jfw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計畫書</dc:title>
  <dc:creator>(待補上)</dc:creator>
  <cp:keywords/>
  <dcterms:created xsi:type="dcterms:W3CDTF">2021-08-16T03:09:59Z</dcterms:created>
  <dcterms:modified xsi:type="dcterms:W3CDTF">2021-08-16T03:09:59Z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date">
    <vt:lpwstr>2021/7/26</vt:lpwstr>
  </property>
  <property fmtid="{D5CDD505-2E9C-101B-9397-08002B2CF9AE}" pid="4" name="output">
    <vt:lpwstr>word_document</vt:lpwstr>
  </property>
</Properties>
</file>