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計畫書</w:t>
      </w:r>
    </w:p>
    <w:p>
      <w:pPr>
        <w:pStyle w:val="Author"/>
      </w:pPr>
      <w:r>
        <w:t xml:space="preserve">(待補上)</w:t>
      </w:r>
    </w:p>
    <w:p>
      <w:pPr>
        <w:pStyle w:val="Date"/>
      </w:pPr>
      <w:r>
        <w:t xml:space="preserve">2021-08-19</w:t>
      </w:r>
    </w:p>
    <w:bookmarkStart w:id="20" w:name="緒論"/>
    <w:p>
      <w:pPr>
        <w:pStyle w:val="Heading2"/>
      </w:pPr>
      <w:r>
        <w:t xml:space="preserve">緒論</w:t>
      </w:r>
    </w:p>
    <w:p>
      <w:pPr>
        <w:pStyle w:val="FirstParagraph"/>
      </w:pPr>
      <w:r>
        <w:t xml:space="preserve">本研究重製</w:t>
      </w:r>
      <w:r>
        <w:t xml:space="preserve"> </w:t>
      </w:r>
      <w:r>
        <w:t xml:space="preserve">Boot et al. (2021)</w:t>
      </w:r>
      <w:r>
        <w:t xml:space="preserve"> </w:t>
      </w:r>
      <w:r>
        <w:t xml:space="preserve">的問卷調查及假設分析，探討台灣地區民眾相信正確及錯誤疫情資訊的認知動機因素。</w:t>
      </w:r>
    </w:p>
    <w:p>
      <w:pPr>
        <w:pStyle w:val="BodyText"/>
      </w:pPr>
      <w:r>
        <w:t xml:space="preserve">認知動機是什麼？</w:t>
      </w:r>
      <w:r>
        <w:t xml:space="preserve"> </w:t>
      </w:r>
      <w:r>
        <w:t xml:space="preserve">Need for cognition(認知需求)</w:t>
      </w:r>
    </w:p>
    <w:p>
      <w:pPr>
        <w:pStyle w:val="BodyText"/>
      </w:pPr>
      <w:r>
        <w:t xml:space="preserve">問卷來源文獻:</w:t>
      </w:r>
      <w:r>
        <w:t xml:space="preserve"> </w:t>
      </w:r>
      <w:r>
        <w:t xml:space="preserve">Cacioppo and Petty (1982)</w:t>
      </w:r>
      <w:r>
        <w:t xml:space="preserve">;</w:t>
      </w:r>
      <w:r>
        <w:t xml:space="preserve"> </w:t>
      </w:r>
      <w:r>
        <w:t xml:space="preserve">Cacioppo, Petty, and Kao (1984)</w:t>
      </w:r>
    </w:p>
    <w:p>
      <w:pPr>
        <w:pStyle w:val="BodyText"/>
      </w:pPr>
      <w:r>
        <w:t xml:space="preserve">Boot et al. (2021)</w:t>
      </w:r>
      <w:r>
        <w:t xml:space="preserve"> </w:t>
      </w:r>
      <w:r>
        <w:t xml:space="preserve">使用</w:t>
      </w:r>
      <w:r>
        <w:t xml:space="preserve"> </w:t>
      </w:r>
      <w:r>
        <w:t xml:space="preserve">Cacioppo, Petty, and Kao (1984)</w:t>
      </w:r>
      <w:r>
        <w:t xml:space="preserve"> </w:t>
      </w:r>
      <w:r>
        <w:t xml:space="preserve">18題版本</w:t>
      </w:r>
    </w:p>
    <w:p>
      <w:pPr>
        <w:pStyle w:val="BodyText"/>
      </w:pPr>
      <w:r>
        <w:t xml:space="preserve">Need for cognitive closure(認知停歇需求)</w:t>
      </w:r>
    </w:p>
    <w:p>
      <w:pPr>
        <w:pStyle w:val="BodyText"/>
      </w:pPr>
      <w:r>
        <w:t xml:space="preserve">問卷來源文獻:</w:t>
      </w:r>
      <w:r>
        <w:t xml:space="preserve"> </w:t>
      </w:r>
      <w:r>
        <w:t xml:space="preserve">Kruglanski et al. (1997)</w:t>
      </w:r>
    </w:p>
    <w:p>
      <w:pPr>
        <w:pStyle w:val="BodyText"/>
      </w:pPr>
      <w:r>
        <w:t xml:space="preserve">Boot et al. (2021)</w:t>
      </w:r>
      <w:r>
        <w:t xml:space="preserve"> </w:t>
      </w:r>
      <w:r>
        <w:t xml:space="preserve">使用</w:t>
      </w:r>
      <w:r>
        <w:t xml:space="preserve"> </w:t>
      </w:r>
      <w:r>
        <w:t xml:space="preserve">Kruglanski et al. (1997)</w:t>
      </w:r>
      <w:r>
        <w:t xml:space="preserve"> </w:t>
      </w:r>
      <w:r>
        <w:t xml:space="preserve">47題版本</w:t>
      </w:r>
    </w:p>
    <w:p>
      <w:pPr>
        <w:pStyle w:val="BlockText"/>
      </w:pPr>
      <w:r>
        <w:t xml:space="preserve">尋找有引用上述文獻的中文文獻；整理曾被用來探討的主題。</w:t>
      </w:r>
    </w:p>
    <w:p>
      <w:pPr>
        <w:pStyle w:val="FirstParagraph"/>
      </w:pPr>
      <w:r>
        <w:t xml:space="preserve">疫情資訊的樣態</w:t>
      </w:r>
    </w:p>
    <w:p>
      <w:pPr>
        <w:pStyle w:val="BodyText"/>
      </w:pPr>
      <w:r>
        <w:t xml:space="preserve">民眾對疫情資訊的信任度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Boot et al.(2021)原始假設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結果支持狀況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H1a: 高NC者對疫情的正確認識高於低NC者</w:t>
            </w:r>
          </w:p>
        </w:tc>
        <w:tc>
          <w:p>
            <w:pPr>
              <w:pStyle w:val="Compact"/>
              <w:jc w:val="left"/>
            </w:pPr>
            <w:r>
              <w:t xml:space="preserve">充分支持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H1b: 高NC者更新疫情資訊的頻率高於低NC者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H1c: 高NC者依賴新媒體及可靠管道獲取最新疫情資訊來源的程度高於低NC者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H2: 高NCC者比低NCC者對個人認為是真實的資訊更有信心</w:t>
            </w:r>
          </w:p>
        </w:tc>
        <w:tc>
          <w:p>
            <w:pPr>
              <w:pStyle w:val="Compact"/>
              <w:jc w:val="left"/>
            </w:pPr>
            <w:r>
              <w:t xml:space="preserve">部分支持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H3: 低認知動機者(低NC,低NCC)容易接受流言說法</w:t>
            </w:r>
          </w:p>
        </w:tc>
        <w:tc>
          <w:p>
            <w:pPr>
              <w:pStyle w:val="Compact"/>
              <w:jc w:val="left"/>
            </w:pPr>
            <w:r>
              <w:t xml:space="preserve">不支持</w:t>
            </w:r>
          </w:p>
        </w:tc>
      </w:tr>
    </w:tbl>
    <w:bookmarkEnd w:id="20"/>
    <w:bookmarkStart w:id="24" w:name="方法"/>
    <w:p>
      <w:pPr>
        <w:pStyle w:val="Heading2"/>
      </w:pPr>
      <w:r>
        <w:t xml:space="preserve">方法</w:t>
      </w:r>
    </w:p>
    <w:p>
      <w:pPr>
        <w:pStyle w:val="FirstParagraph"/>
      </w:pPr>
      <w:r>
        <w:t xml:space="preserve">問卷內容(依原始問卷腳本施測次序):</w:t>
      </w:r>
    </w:p>
    <w:p>
      <w:pPr>
        <w:numPr>
          <w:ilvl w:val="0"/>
          <w:numId w:val="1001"/>
        </w:numPr>
        <w:pStyle w:val="Compact"/>
      </w:pPr>
      <w:r>
        <w:t xml:space="preserve">疫情資訊可信度評估(Q1)：12條真實資訊, 12條不實資訊, 8條流言說法</w:t>
      </w:r>
    </w:p>
    <w:p>
      <w:pPr>
        <w:numPr>
          <w:ilvl w:val="0"/>
          <w:numId w:val="1001"/>
        </w:numPr>
        <w:pStyle w:val="Compact"/>
      </w:pPr>
      <w:r>
        <w:t xml:space="preserve">人口背景調查(Q2 ~ Q7)</w:t>
      </w:r>
    </w:p>
    <w:p>
      <w:pPr>
        <w:numPr>
          <w:ilvl w:val="0"/>
          <w:numId w:val="1001"/>
        </w:numPr>
        <w:pStyle w:val="Compact"/>
      </w:pPr>
      <w:r>
        <w:t xml:space="preserve">媒體使用狀況調查：使用平台(Q8), 每日使用時間(Q9),獲取最新資訊的來源種類(</w:t>
      </w:r>
      <w:r>
        <w:rPr>
          <w:b/>
        </w:rPr>
        <w:t xml:space="preserve">Q10</w:t>
      </w:r>
      <w:r>
        <w:t xml:space="preserve">) 獲取最新資訊的情境(</w:t>
      </w:r>
      <w:r>
        <w:rPr>
          <w:b/>
        </w:rPr>
        <w:t xml:space="preserve">Q10_1~4</w:t>
      </w:r>
      <w:r>
        <w:t xml:space="preserve">), 獲取最新資訊的頻率(</w:t>
      </w:r>
      <w:r>
        <w:rPr>
          <w:b/>
        </w:rPr>
        <w:t xml:space="preserve">Q12</w:t>
      </w:r>
      <w:r>
        <w:t xml:space="preserve">), 獲取最新資訊的動機(</w:t>
      </w:r>
      <w:r>
        <w:rPr>
          <w:b/>
        </w:rPr>
        <w:t xml:space="preserve">Q14</w:t>
      </w:r>
      <w:r>
        <w:t xml:space="preserve">), 動機調查填充題(Q14_1~5,Q15)</w:t>
      </w:r>
    </w:p>
    <w:p>
      <w:pPr>
        <w:numPr>
          <w:ilvl w:val="0"/>
          <w:numId w:val="1001"/>
        </w:numPr>
        <w:pStyle w:val="Compact"/>
      </w:pPr>
      <w:r>
        <w:t xml:space="preserve">認知動機問卷: NC(Q16),NCC(Q17)</w:t>
      </w:r>
    </w:p>
    <w:p>
      <w:pPr>
        <w:pStyle w:val="FirstParagraph"/>
      </w:pPr>
      <w:r>
        <w:t xml:space="preserve">問卷使用網路實驗平台Psytoolkit編制。</w:t>
      </w:r>
    </w:p>
    <w:bookmarkStart w:id="21" w:name="研究材料"/>
    <w:p>
      <w:pPr>
        <w:pStyle w:val="Heading3"/>
      </w:pPr>
      <w:r>
        <w:t xml:space="preserve">研究材料</w:t>
      </w:r>
    </w:p>
    <w:p>
      <w:pPr>
        <w:pStyle w:val="FirstParagraph"/>
      </w:pPr>
      <w:r>
        <w:t xml:space="preserve">依據原始文獻的研究，研究的材料分別為冠狀病毒之問答題事實題。</w:t>
      </w:r>
      <w:r>
        <w:t xml:space="preserve"> </w:t>
      </w:r>
      <w:r>
        <w:t xml:space="preserve">1.W1</w:t>
      </w:r>
    </w:p>
    <w:p>
      <w:pPr>
        <w:pStyle w:val="BodyText"/>
      </w:pPr>
      <w:r>
        <w:t xml:space="preserve">(1)疫情資訊題目：總共32題，分別為12題真實資訊，12題不實資訊，8題陰謀論，使用李克特5點量表，從</w:t>
      </w:r>
      <w:r>
        <w:t xml:space="preserve">“</w:t>
      </w:r>
      <w:r>
        <w:t xml:space="preserve">1.我確定這不是真的</w:t>
      </w:r>
      <w:r>
        <w:t xml:space="preserve">”</w:t>
      </w:r>
      <w:r>
        <w:t xml:space="preserve">到</w:t>
      </w:r>
      <w:r>
        <w:t xml:space="preserve">“</w:t>
      </w:r>
      <w:r>
        <w:t xml:space="preserve">5.我確定這是真的</w:t>
      </w:r>
      <w:r>
        <w:t xml:space="preserve">”</w:t>
      </w:r>
      <w:r>
        <w:t xml:space="preserve">。與原始文獻研究材料不同的是，原始研究為2020年，有一些疫情資訊過於老舊，且民眾重視的議題也有所改變，不適用於當今2021年。所以本研究各替換真實資訊與不實資訊各6題，改為疫苗資訊相關的題目，較符合現今社會大眾重視的議題，並更新較舊的疫情資訊。為了避免設計題目沒有證據支持，我們的題目都是由台灣事實查核中心、台灣內科醫學會網路學誌測驗、衛生福利部疾管署、臺大醫院家庭醫學部《COVID-19知識就是力量》參考編制而成，陰謀論則是由台灣適時查核中心與網路新聞平台所參考。題目設定好再交由假新聞清潔劑評估每一題的描述，確認每一題的正確回答4分以上達到80%，以確認訊息呈現的難易度與資訊的正確性，若沒有達成上述條件，則會再做修改或重新找題目。</w:t>
      </w:r>
    </w:p>
    <w:p>
      <w:pPr>
        <w:pStyle w:val="BodyText"/>
      </w:pPr>
      <w:r>
        <w:t xml:space="preserve">(2)認知動機「Need for Cognition(NC)」：總共為18題。翻譯自Need for Cognition Scale ，由本研究者由英文翻譯成中文，再請他人由我們翻譯的中文再翻回英文，相互對照，確認翻譯內容與原量表意義相同。</w:t>
      </w:r>
    </w:p>
    <w:p>
      <w:pPr>
        <w:pStyle w:val="BodyText"/>
      </w:pPr>
      <w:r>
        <w:t xml:space="preserve">(3)認知停歇需求「Need for Cognition Closure(NCC)」總共為47題。翻譯自Need for Closure Scale (NFC)</w:t>
      </w:r>
      <w:r>
        <w:t xml:space="preserve"> </w:t>
      </w:r>
      <w:r>
        <w:t xml:space="preserve">，由本研究者由英文翻譯成中文，再請他人由我們翻譯的中文再翻回英文，相互對照，確認翻譯內容與原量表意義相同。</w:t>
      </w:r>
    </w:p>
    <w:bookmarkEnd w:id="21"/>
    <w:bookmarkStart w:id="22" w:name="研究參與者估計"/>
    <w:p>
      <w:pPr>
        <w:pStyle w:val="Heading3"/>
      </w:pPr>
      <w:r>
        <w:t xml:space="preserve">研究參與者估計</w:t>
      </w:r>
    </w:p>
    <w:bookmarkEnd w:id="22"/>
    <w:bookmarkStart w:id="23" w:name="研究程序"/>
    <w:p>
      <w:pPr>
        <w:pStyle w:val="Heading3"/>
      </w:pPr>
      <w:r>
        <w:t xml:space="preserve">研究程序</w:t>
      </w:r>
    </w:p>
    <w:p>
      <w:pPr>
        <w:numPr>
          <w:ilvl w:val="0"/>
          <w:numId w:val="1002"/>
        </w:numPr>
        <w:pStyle w:val="Compact"/>
      </w:pPr>
      <w:r>
        <w:t xml:space="preserve">確認重制研究題目</w:t>
      </w:r>
    </w:p>
    <w:p>
      <w:pPr>
        <w:numPr>
          <w:ilvl w:val="0"/>
          <w:numId w:val="1002"/>
        </w:numPr>
        <w:pStyle w:val="Compact"/>
      </w:pPr>
      <w:r>
        <w:t xml:space="preserve">編制研究問卷</w:t>
      </w:r>
    </w:p>
    <w:p>
      <w:pPr>
        <w:numPr>
          <w:ilvl w:val="0"/>
          <w:numId w:val="1002"/>
        </w:numPr>
        <w:pStyle w:val="Compact"/>
      </w:pPr>
      <w:r>
        <w:t xml:space="preserve">確認分析計畫</w:t>
      </w:r>
    </w:p>
    <w:p>
      <w:pPr>
        <w:numPr>
          <w:ilvl w:val="0"/>
          <w:numId w:val="1002"/>
        </w:numPr>
        <w:pStyle w:val="Compact"/>
      </w:pPr>
      <w:r>
        <w:t xml:space="preserve">相關文獻探討</w:t>
      </w:r>
    </w:p>
    <w:p>
      <w:pPr>
        <w:numPr>
          <w:ilvl w:val="0"/>
          <w:numId w:val="1002"/>
        </w:numPr>
        <w:pStyle w:val="Compact"/>
      </w:pPr>
      <w:r>
        <w:t xml:space="preserve">收集資料</w:t>
      </w:r>
    </w:p>
    <w:p>
      <w:pPr>
        <w:numPr>
          <w:ilvl w:val="0"/>
          <w:numId w:val="1002"/>
        </w:numPr>
        <w:pStyle w:val="Compact"/>
      </w:pPr>
      <w:r>
        <w:t xml:space="preserve">分析與討論</w:t>
      </w:r>
    </w:p>
    <w:bookmarkEnd w:id="23"/>
    <w:bookmarkEnd w:id="24"/>
    <w:bookmarkStart w:id="36" w:name="分析計畫"/>
    <w:p>
      <w:pPr>
        <w:pStyle w:val="Heading2"/>
      </w:pPr>
      <w:r>
        <w:t xml:space="preserve">分析計畫</w:t>
      </w:r>
    </w:p>
    <w:p>
      <w:pPr>
        <w:pStyle w:val="FirstParagraph"/>
      </w:pPr>
      <w:r>
        <w:t xml:space="preserve">(原研究第一波分析)</w:t>
      </w:r>
      <w:r>
        <w:t xml:space="preserve"> </w:t>
      </w:r>
      <w:r>
        <w:t xml:space="preserve">1. 疫情資訊回應資料的分類檢測：隨機選取200位參與者的資料進行確證性因素分析，分解兩種因素：Knowledge, Conspiracy Rejection</w:t>
      </w:r>
    </w:p>
    <w:p>
      <w:pPr>
        <w:numPr>
          <w:ilvl w:val="0"/>
          <w:numId w:val="1003"/>
        </w:numPr>
        <w:pStyle w:val="Compact"/>
      </w:pPr>
      <w:r>
        <w:t xml:space="preserve">確設性假設分析</w:t>
      </w:r>
    </w:p>
    <w:p>
      <w:pPr>
        <w:pStyle w:val="FirstParagraph"/>
      </w:pPr>
      <w:r>
        <w:t xml:space="preserve">檢測資料符合有Knowledge, Conspiracy Rejection的迴歸式之程度。</w:t>
      </w:r>
    </w:p>
    <w:p>
      <w:pPr>
        <w:pStyle w:val="BodyText"/>
      </w:pPr>
      <w:r>
        <w:t xml:space="preserve">(Q1 Knowledge, Conspiracy Rejection分別分析)</w:t>
      </w:r>
      <w:r>
        <w:t xml:space="preserve"> </w:t>
      </w:r>
      <w:r>
        <w:t xml:space="preserve">model 0: Q1 responses ~ 1</w:t>
      </w:r>
      <w:r>
        <w:t xml:space="preserve"> </w:t>
      </w:r>
      <w:r>
        <w:t xml:space="preserve">model 1: Q1 responses ~ NC X NCC</w:t>
      </w:r>
    </w:p>
    <w:p>
      <w:pPr>
        <w:numPr>
          <w:ilvl w:val="0"/>
          <w:numId w:val="1004"/>
        </w:numPr>
        <w:pStyle w:val="Compact"/>
      </w:pPr>
      <w:r>
        <w:t xml:space="preserve">H1a: 迴歸分析確認高NC者掌握資訊的正確度高於低NC者</w:t>
      </w:r>
    </w:p>
    <w:p>
      <w:pPr>
        <w:pStyle w:val="FirstParagraph"/>
      </w:pPr>
      <w:r>
        <w:t xml:space="preserve">(只分析Q1 Knowledge)</w:t>
      </w:r>
      <w:r>
        <w:t xml:space="preserve"> </w:t>
      </w:r>
      <w:r>
        <w:t xml:space="preserve">model 1的 NC 迴歸係數</w:t>
      </w:r>
    </w:p>
    <w:p>
      <w:pPr>
        <w:numPr>
          <w:ilvl w:val="0"/>
          <w:numId w:val="1005"/>
        </w:numPr>
        <w:pStyle w:val="Compact"/>
      </w:pPr>
      <w:r>
        <w:t xml:space="preserve">H1b: 迴歸分析無法支持高NC者更新疫情資訊的頻率高於低NC者</w:t>
      </w:r>
      <w:r>
        <w:t xml:space="preserve"> </w:t>
      </w:r>
      <w:r>
        <w:t xml:space="preserve">model 0: Q12 responses ~ 1</w:t>
      </w:r>
      <w:r>
        <w:t xml:space="preserve"> </w:t>
      </w:r>
      <w:r>
        <w:t xml:space="preserve">mode1 1: Q12 responses ~ NC*NCC</w:t>
      </w:r>
    </w:p>
    <w:p>
      <w:pPr>
        <w:pStyle w:val="FirstParagraph"/>
      </w:pPr>
      <w:r>
        <w:t xml:space="preserve">model 1的 NC 迴歸係數</w:t>
      </w:r>
    </w:p>
    <w:p>
      <w:pPr>
        <w:numPr>
          <w:ilvl w:val="0"/>
          <w:numId w:val="1006"/>
        </w:numPr>
        <w:pStyle w:val="Compact"/>
      </w:pPr>
      <w:r>
        <w:t xml:space="preserve">H1c: 集群分析無法支持高NC者依賴新媒體及可靠管道獲取最新疫情資訊來源的程度高於低NC者</w:t>
      </w:r>
    </w:p>
    <w:p>
      <w:pPr>
        <w:pStyle w:val="FirstParagraph"/>
      </w:pPr>
      <w:r>
        <w:t xml:space="preserve">集群分析綜合Q1, Q10, Q10_1~4, Q12, Q14, Q16, Q17</w:t>
      </w:r>
    </w:p>
    <w:p>
      <w:pPr>
        <w:numPr>
          <w:ilvl w:val="0"/>
          <w:numId w:val="1007"/>
        </w:numPr>
        <w:pStyle w:val="Compact"/>
      </w:pPr>
      <w:r>
        <w:t xml:space="preserve">H2: 描述統計顯示高NCC者比低NCC者認為是真實的資訊更有信心(</w:t>
      </w:r>
      <w:r>
        <w:t xml:space="preserve"> </w:t>
      </w:r>
      <w:hyperlink r:id="rId25">
        <w:r>
          <w:rPr>
            <w:rStyle w:val="Hyperlink"/>
          </w:rPr>
          <w:t xml:space="preserve">https://osf.io/8jfwe/</w:t>
        </w:r>
      </w:hyperlink>
      <w:r>
        <w:t xml:space="preserve"> </w:t>
      </w:r>
      <w:r>
        <w:t xml:space="preserve">Table 9,10 回答</w:t>
      </w:r>
      <w:r>
        <w:t xml:space="preserve">“</w:t>
      </w:r>
      <w:r>
        <w:t xml:space="preserve">I am sure this is true</w:t>
      </w:r>
      <w:r>
        <w:t xml:space="preserve">”</w:t>
      </w:r>
      <w:r>
        <w:t xml:space="preserve">/</w:t>
      </w:r>
      <w:r>
        <w:t xml:space="preserve">“</w:t>
      </w:r>
      <w:r>
        <w:t xml:space="preserve">I am sure this is not true</w:t>
      </w:r>
      <w:r>
        <w:t xml:space="preserve">”</w:t>
      </w:r>
      <w:r>
        <w:t xml:space="preserve">的分組信賴區間)；迴歸分析顯示高NCC者對真假資訊及流言說法，都有較高的信心。</w:t>
      </w:r>
    </w:p>
    <w:p>
      <w:pPr>
        <w:pStyle w:val="FirstParagraph"/>
      </w:pPr>
      <w:r>
        <w:t xml:space="preserve">(Q1 Knowledge, Conspiracy Rejection分別分析)</w:t>
      </w:r>
      <w:r>
        <w:t xml:space="preserve"> </w:t>
      </w:r>
      <w:r>
        <w:t xml:space="preserve">model 1的NCC迴歸係數</w:t>
      </w:r>
    </w:p>
    <w:p>
      <w:pPr>
        <w:numPr>
          <w:ilvl w:val="0"/>
          <w:numId w:val="1008"/>
        </w:numPr>
        <w:pStyle w:val="Compact"/>
      </w:pPr>
      <w:r>
        <w:t xml:space="preserve">H3: 迴歸分析無法支持低認知動機者(低NC,低NCC)容易接受流言說法</w:t>
      </w:r>
    </w:p>
    <w:p>
      <w:pPr>
        <w:pStyle w:val="FirstParagraph"/>
      </w:pPr>
      <w:r>
        <w:t xml:space="preserve">(只分析Q1 Conspiracy Rejection)</w:t>
      </w:r>
      <w:r>
        <w:t xml:space="preserve"> </w:t>
      </w:r>
      <w:r>
        <w:t xml:space="preserve">model 1 的 NC*NCC迴歸係數</w:t>
      </w:r>
    </w:p>
    <w:p>
      <w:pPr>
        <w:numPr>
          <w:ilvl w:val="0"/>
          <w:numId w:val="1009"/>
        </w:numPr>
        <w:pStyle w:val="Compact"/>
      </w:pPr>
      <w:r>
        <w:t xml:space="preserve">描述統計</w:t>
      </w:r>
    </w:p>
    <w:bookmarkStart w:id="35" w:name="參考文獻"/>
    <w:p>
      <w:pPr>
        <w:pStyle w:val="Heading3"/>
      </w:pPr>
      <w:r>
        <w:t xml:space="preserve">參考文獻</w:t>
      </w:r>
    </w:p>
    <w:bookmarkStart w:id="34" w:name="refs"/>
    <w:bookmarkStart w:id="27" w:name="X9c64651bef7f647c12fd47973ff5adc86cf9aee"/>
    <w:p>
      <w:pPr>
        <w:pStyle w:val="Bibliography"/>
      </w:pPr>
      <w:r>
        <w:t xml:space="preserve">Boot, Arnout B., Anita Eerland, Joran Jongerling, Peter P. J. L. Verkoeijen, and Rolf A. Zwaan. 2021.</w:t>
      </w:r>
      <w:r>
        <w:t xml:space="preserve"> </w:t>
      </w:r>
      <w:r>
        <w:t xml:space="preserve">“Gathering, Processing, and Interpreting Information about</w:t>
      </w:r>
      <w:r>
        <w:t xml:space="preserve"> </w:t>
      </w:r>
      <w:r>
        <w:t xml:space="preserve">COVID</w:t>
      </w:r>
      <w:r>
        <w:t xml:space="preserve">-19.”</w:t>
      </w:r>
      <w:r>
        <w:t xml:space="preserve"> </w:t>
      </w:r>
      <w:r>
        <w:rPr>
          <w:i/>
        </w:rPr>
        <w:t xml:space="preserve">Scientific Reports</w:t>
      </w:r>
      <w:r>
        <w:t xml:space="preserve"> </w:t>
      </w:r>
      <w:r>
        <w:t xml:space="preserve">11 (1, 1): 6569.</w:t>
      </w:r>
      <w:r>
        <w:t xml:space="preserve"> </w:t>
      </w:r>
      <w:hyperlink r:id="rId26">
        <w:r>
          <w:rPr>
            <w:rStyle w:val="Hyperlink"/>
          </w:rPr>
          <w:t xml:space="preserve">https://doi.org/10.1038/s41598-021-86088-3</w:t>
        </w:r>
      </w:hyperlink>
      <w:r>
        <w:t xml:space="preserve">.</w:t>
      </w:r>
    </w:p>
    <w:bookmarkEnd w:id="27"/>
    <w:bookmarkStart w:id="29" w:name="ref-cacioppoNeedCognition1982"/>
    <w:p>
      <w:pPr>
        <w:pStyle w:val="Bibliography"/>
      </w:pPr>
      <w:r>
        <w:t xml:space="preserve">Cacioppo, John T., and Richard E. Petty. 1982.</w:t>
      </w:r>
      <w:r>
        <w:t xml:space="preserve"> </w:t>
      </w:r>
      <w:r>
        <w:t xml:space="preserve">“The Need for Cognition.”</w:t>
      </w:r>
      <w:r>
        <w:t xml:space="preserve"> </w:t>
      </w:r>
      <w:r>
        <w:rPr>
          <w:i/>
        </w:rPr>
        <w:t xml:space="preserve">Journal of Personality and Social Psychology</w:t>
      </w:r>
      <w:r>
        <w:t xml:space="preserve"> </w:t>
      </w:r>
      <w:r>
        <w:t xml:space="preserve">42 (1): 116–31.</w:t>
      </w:r>
      <w:r>
        <w:t xml:space="preserve"> </w:t>
      </w:r>
      <w:hyperlink r:id="rId28">
        <w:r>
          <w:rPr>
            <w:rStyle w:val="Hyperlink"/>
          </w:rPr>
          <w:t xml:space="preserve">https://doi.org/10.1037/0022-3514.42.1.116</w:t>
        </w:r>
      </w:hyperlink>
      <w:r>
        <w:t xml:space="preserve">.</w:t>
      </w:r>
    </w:p>
    <w:bookmarkEnd w:id="29"/>
    <w:bookmarkStart w:id="31" w:name="ref-cacioppoEfficientAssessmentNeed1984"/>
    <w:p>
      <w:pPr>
        <w:pStyle w:val="Bibliography"/>
      </w:pPr>
      <w:r>
        <w:t xml:space="preserve">Cacioppo, John T., Richard E. Petty, and Chuan Feng Kao. 1984.</w:t>
      </w:r>
      <w:r>
        <w:t xml:space="preserve"> </w:t>
      </w:r>
      <w:r>
        <w:t xml:space="preserve">“The</w:t>
      </w:r>
      <w:r>
        <w:t xml:space="preserve"> </w:t>
      </w:r>
      <w:r>
        <w:t xml:space="preserve">Efficient Assessment</w:t>
      </w:r>
      <w:r>
        <w:t xml:space="preserve"> </w:t>
      </w:r>
      <w:r>
        <w:t xml:space="preserve">of</w:t>
      </w:r>
      <w:r>
        <w:t xml:space="preserve"> </w:t>
      </w:r>
      <w:r>
        <w:t xml:space="preserve">Need</w:t>
      </w:r>
      <w:r>
        <w:t xml:space="preserve"> </w:t>
      </w:r>
      <w:r>
        <w:t xml:space="preserve">for</w:t>
      </w:r>
      <w:r>
        <w:t xml:space="preserve"> </w:t>
      </w:r>
      <w:r>
        <w:t xml:space="preserve">Cognition</w:t>
      </w:r>
      <w:r>
        <w:t xml:space="preserve">.”</w:t>
      </w:r>
      <w:r>
        <w:t xml:space="preserve"> </w:t>
      </w:r>
      <w:r>
        <w:rPr>
          <w:i/>
        </w:rPr>
        <w:t xml:space="preserve">Journal of Personality Assessment</w:t>
      </w:r>
      <w:r>
        <w:t xml:space="preserve"> </w:t>
      </w:r>
      <w:r>
        <w:t xml:space="preserve">48 (3): 306–7.</w:t>
      </w:r>
      <w:r>
        <w:t xml:space="preserve"> </w:t>
      </w:r>
      <w:hyperlink r:id="rId30">
        <w:r>
          <w:rPr>
            <w:rStyle w:val="Hyperlink"/>
          </w:rPr>
          <w:t xml:space="preserve">https://doi.org/10.1207/s15327752jpa4803_13</w:t>
        </w:r>
      </w:hyperlink>
      <w:r>
        <w:t xml:space="preserve">.</w:t>
      </w:r>
    </w:p>
    <w:bookmarkEnd w:id="31"/>
    <w:bookmarkStart w:id="33" w:name="Xf10a0a12e0dc6e8f36f77b93e0800941138d7c9"/>
    <w:p>
      <w:pPr>
        <w:pStyle w:val="Bibliography"/>
      </w:pPr>
      <w:r>
        <w:t xml:space="preserve">Kruglanski, Arie W., M. Nadir Atash, Eraldo DeGrada, Lucia Mannetti, Antonio Pierro, and Donna M. Webster. 1997.</w:t>
      </w:r>
      <w:r>
        <w:t xml:space="preserve"> </w:t>
      </w:r>
      <w:r>
        <w:t xml:space="preserve">“Psychological Theory Testing Versus Psychometric Nay-Saying:</w:t>
      </w:r>
      <w:r>
        <w:t xml:space="preserve"> </w:t>
      </w:r>
      <w:r>
        <w:t xml:space="preserve">Comment</w:t>
      </w:r>
      <w:r>
        <w:t xml:space="preserve"> </w:t>
      </w:r>
      <w:r>
        <w:t xml:space="preserve">on</w:t>
      </w:r>
      <w:r>
        <w:t xml:space="preserve"> </w:t>
      </w:r>
      <w:r>
        <w:t xml:space="preserve">Neuberg</w:t>
      </w:r>
      <w:r>
        <w:t xml:space="preserve"> </w:t>
      </w:r>
      <w:r>
        <w:t xml:space="preserve">Et Al.’s (1997) Critique of the</w:t>
      </w:r>
      <w:r>
        <w:t xml:space="preserve"> </w:t>
      </w:r>
      <w:r>
        <w:t xml:space="preserve">Need</w:t>
      </w:r>
      <w:r>
        <w:t xml:space="preserve"> </w:t>
      </w:r>
      <w:r>
        <w:t xml:space="preserve">for</w:t>
      </w:r>
      <w:r>
        <w:t xml:space="preserve"> </w:t>
      </w:r>
      <w:r>
        <w:t xml:space="preserve">Closure Scale</w:t>
      </w:r>
      <w:r>
        <w:t xml:space="preserve">.”</w:t>
      </w:r>
      <w:r>
        <w:t xml:space="preserve"> </w:t>
      </w:r>
      <w:r>
        <w:rPr>
          <w:i/>
        </w:rPr>
        <w:t xml:space="preserve">Journal of Personality and Social Psychology</w:t>
      </w:r>
      <w:r>
        <w:t xml:space="preserve"> </w:t>
      </w:r>
      <w:r>
        <w:t xml:space="preserve">73 (5): 1005–16.</w:t>
      </w:r>
      <w:r>
        <w:t xml:space="preserve"> </w:t>
      </w:r>
      <w:hyperlink r:id="rId32">
        <w:r>
          <w:rPr>
            <w:rStyle w:val="Hyperlink"/>
          </w:rPr>
          <w:t xml:space="preserve">https://doi.org/10.1037/0022-3514.73.5.1005</w:t>
        </w:r>
      </w:hyperlink>
      <w:r>
        <w:t xml:space="preserve">.</w:t>
      </w:r>
    </w:p>
    <w:bookmarkEnd w:id="33"/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7261ba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8" Target="https://doi.org/10.1037/0022-3514.42.1.116" TargetMode="External" /><Relationship Type="http://schemas.openxmlformats.org/officeDocument/2006/relationships/hyperlink" Id="rId32" Target="https://doi.org/10.1037/0022-3514.73.5.1005" TargetMode="External" /><Relationship Type="http://schemas.openxmlformats.org/officeDocument/2006/relationships/hyperlink" Id="rId26" Target="https://doi.org/10.1038/s41598-021-86088-3" TargetMode="External" /><Relationship Type="http://schemas.openxmlformats.org/officeDocument/2006/relationships/hyperlink" Id="rId30" Target="https://doi.org/10.1207/s15327752jpa4803_13" TargetMode="External" /><Relationship Type="http://schemas.openxmlformats.org/officeDocument/2006/relationships/hyperlink" Id="rId25" Target="https://osf.io/8jfw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8" Target="https://doi.org/10.1037/0022-3514.42.1.116" TargetMode="External" /><Relationship Type="http://schemas.openxmlformats.org/officeDocument/2006/relationships/hyperlink" Id="rId32" Target="https://doi.org/10.1037/0022-3514.73.5.1005" TargetMode="External" /><Relationship Type="http://schemas.openxmlformats.org/officeDocument/2006/relationships/hyperlink" Id="rId26" Target="https://doi.org/10.1038/s41598-021-86088-3" TargetMode="External" /><Relationship Type="http://schemas.openxmlformats.org/officeDocument/2006/relationships/hyperlink" Id="rId30" Target="https://doi.org/10.1207/s15327752jpa4803_13" TargetMode="External" /><Relationship Type="http://schemas.openxmlformats.org/officeDocument/2006/relationships/hyperlink" Id="rId25" Target="https://osf.io/8jfw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計畫書</dc:title>
  <dc:creator>(待補上)</dc:creator>
  <cp:keywords/>
  <dcterms:created xsi:type="dcterms:W3CDTF">2021-08-19T12:01:12Z</dcterms:created>
  <dcterms:modified xsi:type="dcterms:W3CDTF">2021-08-19T12:01:12Z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1_literature/ref.bib</vt:lpwstr>
  </property>
  <property fmtid="{D5CDD505-2E9C-101B-9397-08002B2CF9AE}" pid="3" name="date">
    <vt:lpwstr>2021-08-19</vt:lpwstr>
  </property>
  <property fmtid="{D5CDD505-2E9C-101B-9397-08002B2CF9AE}" pid="4" name="output">
    <vt:lpwstr>word_document</vt:lpwstr>
  </property>
</Properties>
</file>