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RQAr Nacional</w:t>
      </w:r>
    </w:p>
    <w:p>
      <w:r>
        <w:t>[Texto introdutório do guia -- escreva aqui.]</w:t>
      </w:r>
    </w:p>
    <w:p>
      <w:r>
        <w:br w:type="page"/>
      </w:r>
    </w:p>
    <w:p>
      <w:pPr>
        <w:pStyle w:val="Heading1"/>
      </w:pPr>
      <w:r>
        <w:t>Seção 3.1 — Distribuição espacial</w:t>
      </w:r>
    </w:p>
    <w:p>
      <w:r>
        <w:t>[Escreva aqui o texto explicativo desta seção.]</w:t>
      </w:r>
    </w:p>
    <w:p>
      <w:r>
        <w:t>Tabela 6 — Número de estações de monitoramento por UF, categoria e status.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3_1_TABELA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23 — Distribuição espacial das estações de monitoramento por status.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O_3_1_FIGURA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Seção 3.2</w:t>
      </w:r>
    </w:p>
    <w:p>
      <w:r>
        <w:t>[Esta seção ainda não tem markers -- adicione {{...}} aqui quando o notebook secao_3.2 estiver pronto.]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