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117F" w14:textId="5AEEEA7C" w:rsidR="00450CBF" w:rsidRPr="002241A2" w:rsidRDefault="00450CBF" w:rsidP="009D4EA6">
      <w:pPr>
        <w:spacing w:after="0"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t>T</w:t>
      </w:r>
      <w:r w:rsidR="00BA28B8" w:rsidRPr="00721590">
        <w:rPr>
          <w:rFonts w:cstheme="minorHAnsi"/>
          <w:iCs/>
          <w:sz w:val="24"/>
          <w:szCs w:val="24"/>
        </w:rPr>
        <w:t>ABLE</w:t>
      </w:r>
      <w:r w:rsidRPr="00721590">
        <w:rPr>
          <w:rFonts w:cstheme="minorHAnsi"/>
          <w:iCs/>
          <w:sz w:val="24"/>
          <w:szCs w:val="24"/>
        </w:rPr>
        <w:t xml:space="preserve"> 1. Model selection table for </w:t>
      </w:r>
      <w:r w:rsidR="005A7234" w:rsidRPr="00721590">
        <w:rPr>
          <w:rFonts w:cstheme="minorHAnsi"/>
          <w:iCs/>
          <w:sz w:val="24"/>
          <w:szCs w:val="24"/>
        </w:rPr>
        <w:t>GLM</w:t>
      </w:r>
      <w:r w:rsidR="001B2BEE" w:rsidRPr="00721590">
        <w:rPr>
          <w:rFonts w:cstheme="minorHAnsi"/>
          <w:iCs/>
          <w:sz w:val="24"/>
          <w:szCs w:val="24"/>
        </w:rPr>
        <w:t xml:space="preserve"> (Generalized Linear Model)</w:t>
      </w:r>
      <w:r w:rsidR="005A7234" w:rsidRPr="00721590">
        <w:rPr>
          <w:rFonts w:cstheme="minorHAnsi"/>
          <w:iCs/>
          <w:sz w:val="24"/>
          <w:szCs w:val="24"/>
        </w:rPr>
        <w:t xml:space="preserve"> </w:t>
      </w:r>
      <w:r w:rsidR="00984A32" w:rsidRPr="00721590">
        <w:rPr>
          <w:rFonts w:cstheme="minorHAnsi"/>
          <w:iCs/>
          <w:sz w:val="24"/>
          <w:szCs w:val="24"/>
        </w:rPr>
        <w:t xml:space="preserve">of oyster count data from intertidal reefs in the Big Bend </w:t>
      </w:r>
      <w:r w:rsidR="0064341F">
        <w:rPr>
          <w:rFonts w:cstheme="minorHAnsi"/>
          <w:iCs/>
          <w:sz w:val="24"/>
          <w:szCs w:val="24"/>
        </w:rPr>
        <w:t xml:space="preserve">region </w:t>
      </w:r>
      <w:r w:rsidR="00984A32" w:rsidRPr="00721590">
        <w:rPr>
          <w:rFonts w:cstheme="minorHAnsi"/>
          <w:iCs/>
          <w:sz w:val="24"/>
          <w:szCs w:val="24"/>
        </w:rPr>
        <w:t xml:space="preserve">of Florida, </w:t>
      </w:r>
      <w:r w:rsidR="005A7234" w:rsidRPr="00721590">
        <w:rPr>
          <w:rFonts w:cstheme="minorHAnsi"/>
          <w:iCs/>
          <w:sz w:val="24"/>
          <w:szCs w:val="24"/>
        </w:rPr>
        <w:t>without covariates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1B2BEE" w:rsidRPr="00721590">
        <w:rPr>
          <w:rFonts w:cstheme="minorHAnsi"/>
          <w:iCs/>
          <w:sz w:val="24"/>
          <w:szCs w:val="24"/>
        </w:rPr>
        <w:t>AIC (Akai</w:t>
      </w:r>
      <w:r w:rsidR="00201D5C" w:rsidRPr="00721590">
        <w:rPr>
          <w:rFonts w:cstheme="minorHAnsi"/>
          <w:iCs/>
          <w:sz w:val="24"/>
          <w:szCs w:val="24"/>
        </w:rPr>
        <w:t>ke Information Criteria), Delta AIC, and AIC Weights are provided to inform comparisons of model statistical fit to data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710"/>
        <w:gridCol w:w="1260"/>
        <w:gridCol w:w="1440"/>
        <w:gridCol w:w="1440"/>
      </w:tblGrid>
      <w:tr w:rsidR="00450CBF" w:rsidRPr="00612699" w14:paraId="5C04A3AE" w14:textId="77777777" w:rsidTr="00F7503B"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BB0102D" w14:textId="568B2CD6" w:rsidR="00450CBF" w:rsidRPr="00F7503B" w:rsidRDefault="00450CBF" w:rsidP="00BA28B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 xml:space="preserve">Model          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69547A" w14:textId="56F5699C" w:rsidR="00450CBF" w:rsidRPr="00F7503B" w:rsidRDefault="00F41CC3" w:rsidP="00BA28B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Number of parameters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FDACD20" w14:textId="77777777" w:rsidR="00450CBF" w:rsidRPr="00F7503B" w:rsidRDefault="00450CBF" w:rsidP="00BA28B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FC0165" w14:textId="0AF296BD" w:rsidR="00450CBF" w:rsidRPr="00F7503B" w:rsidRDefault="00450CBF" w:rsidP="00BA28B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Delta</w:t>
            </w:r>
            <w:r w:rsidR="00F41CC3" w:rsidRPr="00F7503B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F7503B">
              <w:rPr>
                <w:rFonts w:cstheme="minorHAnsi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9CE3F16" w14:textId="5F8E66B6" w:rsidR="00450CBF" w:rsidRPr="00F7503B" w:rsidRDefault="00450CBF" w:rsidP="00BA28B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AIC</w:t>
            </w:r>
            <w:r w:rsidR="00F41CC3" w:rsidRPr="00F7503B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F7503B">
              <w:rPr>
                <w:rFonts w:cstheme="minorHAnsi"/>
                <w:iCs/>
                <w:sz w:val="24"/>
                <w:szCs w:val="24"/>
              </w:rPr>
              <w:t>W</w:t>
            </w:r>
            <w:r w:rsidR="00F41CC3" w:rsidRPr="00F7503B">
              <w:rPr>
                <w:rFonts w:cstheme="minorHAnsi"/>
                <w:iCs/>
                <w:sz w:val="24"/>
                <w:szCs w:val="24"/>
              </w:rPr>
              <w:t>eight</w:t>
            </w:r>
          </w:p>
        </w:tc>
      </w:tr>
      <w:tr w:rsidR="00450CBF" w:rsidRPr="00721590" w14:paraId="3BB14B37" w14:textId="77777777" w:rsidTr="00F7503B">
        <w:tc>
          <w:tcPr>
            <w:tcW w:w="2430" w:type="dxa"/>
            <w:tcBorders>
              <w:top w:val="single" w:sz="4" w:space="0" w:color="auto"/>
            </w:tcBorders>
          </w:tcPr>
          <w:p w14:paraId="39082579" w14:textId="6E55350F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* </w:t>
            </w:r>
            <w:r w:rsidR="000B5746" w:rsidRPr="00F7503B">
              <w:rPr>
                <w:rFonts w:cstheme="minorHAnsi"/>
                <w:iCs/>
                <w:sz w:val="24"/>
                <w:szCs w:val="24"/>
              </w:rPr>
              <w:t>locality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 + </w:t>
            </w:r>
            <w:r w:rsidR="000B5746" w:rsidRPr="00F7503B">
              <w:rPr>
                <w:rFonts w:cstheme="minorHAnsi"/>
                <w:iCs/>
                <w:sz w:val="24"/>
                <w:szCs w:val="24"/>
              </w:rPr>
              <w:t>site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89275F1" w14:textId="4A2DDB6E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5C35000" w14:textId="5C47EE8A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3185.65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0E10BB4" w14:textId="61333291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48AF466" w14:textId="2C0C95F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94</w:t>
            </w:r>
          </w:p>
        </w:tc>
      </w:tr>
      <w:tr w:rsidR="00450CBF" w:rsidRPr="00721590" w14:paraId="6F07A757" w14:textId="77777777" w:rsidTr="00F7503B">
        <w:tc>
          <w:tcPr>
            <w:tcW w:w="2430" w:type="dxa"/>
          </w:tcPr>
          <w:p w14:paraId="1B9F4E22" w14:textId="79E1F307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+ site </w:t>
            </w:r>
          </w:p>
        </w:tc>
        <w:tc>
          <w:tcPr>
            <w:tcW w:w="1710" w:type="dxa"/>
          </w:tcPr>
          <w:p w14:paraId="49852DF7" w14:textId="6C354CA0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5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15413EBD" w14:textId="53C98458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92.36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0310A29E" w14:textId="74E7054C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6.71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303B4597" w14:textId="5DC332F0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03</w:t>
            </w:r>
          </w:p>
        </w:tc>
      </w:tr>
      <w:tr w:rsidR="00450CBF" w:rsidRPr="00721590" w14:paraId="485BBE27" w14:textId="77777777" w:rsidTr="00F7503B">
        <w:tc>
          <w:tcPr>
            <w:tcW w:w="2430" w:type="dxa"/>
          </w:tcPr>
          <w:p w14:paraId="13ABA9A6" w14:textId="11847BE1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+ locality + site  </w:t>
            </w:r>
          </w:p>
        </w:tc>
        <w:tc>
          <w:tcPr>
            <w:tcW w:w="1710" w:type="dxa"/>
          </w:tcPr>
          <w:p w14:paraId="3B97EE4B" w14:textId="7777777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8 </w:t>
            </w:r>
          </w:p>
        </w:tc>
        <w:tc>
          <w:tcPr>
            <w:tcW w:w="1260" w:type="dxa"/>
          </w:tcPr>
          <w:p w14:paraId="4E9D746F" w14:textId="2486049F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93.41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  </w:t>
            </w:r>
          </w:p>
        </w:tc>
        <w:tc>
          <w:tcPr>
            <w:tcW w:w="1440" w:type="dxa"/>
          </w:tcPr>
          <w:p w14:paraId="0988A137" w14:textId="446BFCA9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7.76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599D7B1E" w14:textId="7DC8C25F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02</w:t>
            </w:r>
          </w:p>
        </w:tc>
      </w:tr>
      <w:tr w:rsidR="00450CBF" w:rsidRPr="00721590" w14:paraId="69D0AF22" w14:textId="77777777" w:rsidTr="00F7503B">
        <w:tc>
          <w:tcPr>
            <w:tcW w:w="2430" w:type="dxa"/>
          </w:tcPr>
          <w:p w14:paraId="029ABCA8" w14:textId="19D5B4B2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* site </w:t>
            </w:r>
          </w:p>
        </w:tc>
        <w:tc>
          <w:tcPr>
            <w:tcW w:w="1710" w:type="dxa"/>
          </w:tcPr>
          <w:p w14:paraId="05442E62" w14:textId="3681BFA5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23B425AB" w14:textId="2AA1F283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96.27</w:t>
            </w:r>
          </w:p>
        </w:tc>
        <w:tc>
          <w:tcPr>
            <w:tcW w:w="1440" w:type="dxa"/>
          </w:tcPr>
          <w:p w14:paraId="5115E734" w14:textId="21E14FB4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10.62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50539B88" w14:textId="5BBB6423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0</w:t>
            </w:r>
          </w:p>
        </w:tc>
      </w:tr>
      <w:tr w:rsidR="00450CBF" w:rsidRPr="00721590" w14:paraId="7E341E2A" w14:textId="77777777" w:rsidTr="00F7503B">
        <w:tc>
          <w:tcPr>
            <w:tcW w:w="2430" w:type="dxa"/>
          </w:tcPr>
          <w:p w14:paraId="05DB8C16" w14:textId="4B2AE18A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+ </w:t>
            </w:r>
            <w:r w:rsidR="000B5746" w:rsidRPr="00F7503B">
              <w:rPr>
                <w:rFonts w:cstheme="minorHAnsi"/>
                <w:iCs/>
                <w:sz w:val="24"/>
                <w:szCs w:val="24"/>
              </w:rPr>
              <w:t xml:space="preserve">locality * 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site             </w:t>
            </w:r>
          </w:p>
        </w:tc>
        <w:tc>
          <w:tcPr>
            <w:tcW w:w="1710" w:type="dxa"/>
          </w:tcPr>
          <w:p w14:paraId="5299EE93" w14:textId="3EFD71F3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14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76625B49" w14:textId="1C094BF3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96.62</w:t>
            </w:r>
          </w:p>
        </w:tc>
        <w:tc>
          <w:tcPr>
            <w:tcW w:w="1440" w:type="dxa"/>
          </w:tcPr>
          <w:p w14:paraId="3654F036" w14:textId="2BB3667F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10.97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39028A6" w14:textId="1C6FD8FA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0</w:t>
            </w:r>
          </w:p>
        </w:tc>
      </w:tr>
      <w:tr w:rsidR="00450CBF" w:rsidRPr="00721590" w14:paraId="6E6565A5" w14:textId="77777777" w:rsidTr="00F7503B">
        <w:tc>
          <w:tcPr>
            <w:tcW w:w="2430" w:type="dxa"/>
          </w:tcPr>
          <w:p w14:paraId="3076294B" w14:textId="54D988C2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>eriod * site</w:t>
            </w:r>
            <w:r w:rsidR="000B5746" w:rsidRPr="00F7503B">
              <w:rPr>
                <w:rFonts w:cstheme="minorHAnsi"/>
                <w:iCs/>
                <w:sz w:val="24"/>
                <w:szCs w:val="24"/>
              </w:rPr>
              <w:t xml:space="preserve"> + locality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             </w:t>
            </w:r>
          </w:p>
        </w:tc>
        <w:tc>
          <w:tcPr>
            <w:tcW w:w="1710" w:type="dxa"/>
          </w:tcPr>
          <w:p w14:paraId="401AFBC9" w14:textId="09E3A333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14:paraId="663A2A2E" w14:textId="7CF88DBA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97.27</w:t>
            </w:r>
          </w:p>
        </w:tc>
        <w:tc>
          <w:tcPr>
            <w:tcW w:w="1440" w:type="dxa"/>
          </w:tcPr>
          <w:p w14:paraId="60711095" w14:textId="66620D3B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11.63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6C961737" w14:textId="5AA2899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0</w:t>
            </w:r>
          </w:p>
        </w:tc>
      </w:tr>
      <w:tr w:rsidR="00450CBF" w:rsidRPr="00721590" w14:paraId="382F48BF" w14:textId="77777777" w:rsidTr="00F7503B">
        <w:tc>
          <w:tcPr>
            <w:tcW w:w="2430" w:type="dxa"/>
          </w:tcPr>
          <w:p w14:paraId="42F95B69" w14:textId="4450FEB4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</w:t>
            </w:r>
            <w:r w:rsidR="000B5746" w:rsidRPr="00F7503B">
              <w:rPr>
                <w:rFonts w:cstheme="minorHAnsi"/>
                <w:iCs/>
                <w:sz w:val="24"/>
                <w:szCs w:val="24"/>
              </w:rPr>
              <w:t>+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 locality  </w:t>
            </w:r>
          </w:p>
        </w:tc>
        <w:tc>
          <w:tcPr>
            <w:tcW w:w="1710" w:type="dxa"/>
          </w:tcPr>
          <w:p w14:paraId="73349758" w14:textId="724809A4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439F00C2" w14:textId="50A6D901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259.43</w:t>
            </w:r>
          </w:p>
        </w:tc>
        <w:tc>
          <w:tcPr>
            <w:tcW w:w="1440" w:type="dxa"/>
          </w:tcPr>
          <w:p w14:paraId="45ECDAA2" w14:textId="2BDFE217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77.78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2A8C4F9F" w14:textId="79CA0F5E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  <w:tr w:rsidR="00450CBF" w:rsidRPr="00721590" w14:paraId="705093ED" w14:textId="77777777" w:rsidTr="00F7503B">
        <w:tc>
          <w:tcPr>
            <w:tcW w:w="2430" w:type="dxa"/>
          </w:tcPr>
          <w:p w14:paraId="09068A14" w14:textId="46F16751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        </w:t>
            </w:r>
          </w:p>
        </w:tc>
        <w:tc>
          <w:tcPr>
            <w:tcW w:w="1710" w:type="dxa"/>
          </w:tcPr>
          <w:p w14:paraId="5AEBC7B4" w14:textId="36157BE6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22592533" w14:textId="713EE87D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263.49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440" w:type="dxa"/>
          </w:tcPr>
          <w:p w14:paraId="50F4E314" w14:textId="1569FD9F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77.84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5DB85007" w14:textId="7777777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  <w:tr w:rsidR="00450CBF" w:rsidRPr="00721590" w14:paraId="4E2496AF" w14:textId="77777777" w:rsidTr="00F7503B">
        <w:tc>
          <w:tcPr>
            <w:tcW w:w="2430" w:type="dxa"/>
            <w:tcBorders>
              <w:bottom w:val="single" w:sz="4" w:space="0" w:color="auto"/>
            </w:tcBorders>
          </w:tcPr>
          <w:p w14:paraId="5E47D160" w14:textId="37BA391F" w:rsidR="00450CBF" w:rsidRPr="00F7503B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F7503B">
              <w:rPr>
                <w:rFonts w:cstheme="minorHAnsi"/>
                <w:iCs/>
                <w:sz w:val="24"/>
                <w:szCs w:val="24"/>
              </w:rPr>
              <w:t>P</w:t>
            </w:r>
            <w:r w:rsidR="00450CBF" w:rsidRPr="00F7503B">
              <w:rPr>
                <w:rFonts w:cstheme="minorHAnsi"/>
                <w:iCs/>
                <w:sz w:val="24"/>
                <w:szCs w:val="24"/>
              </w:rPr>
              <w:t xml:space="preserve">eriod * locality        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382778" w14:textId="7777777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9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4EE707" w14:textId="1E337A21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="000B5746" w:rsidRPr="00721590">
              <w:rPr>
                <w:rFonts w:cstheme="minorHAnsi"/>
                <w:iCs/>
                <w:sz w:val="24"/>
                <w:szCs w:val="24"/>
              </w:rPr>
              <w:t>263.51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01FFD6" w14:textId="2E7E6F8F" w:rsidR="00450CBF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77.86</w:t>
            </w:r>
            <w:r w:rsidR="00450CBF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EC09E2A" w14:textId="77777777" w:rsidR="00450CBF" w:rsidRPr="00721590" w:rsidRDefault="00450CB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</w:tbl>
    <w:p w14:paraId="14E37B0E" w14:textId="77777777" w:rsidR="00EC66C9" w:rsidRPr="00721590" w:rsidRDefault="00EC66C9" w:rsidP="009D4EA6">
      <w:pPr>
        <w:spacing w:line="480" w:lineRule="auto"/>
        <w:rPr>
          <w:rFonts w:cstheme="minorHAnsi"/>
          <w:iCs/>
          <w:sz w:val="24"/>
          <w:szCs w:val="24"/>
        </w:rPr>
      </w:pPr>
    </w:p>
    <w:p w14:paraId="3F8A8BD7" w14:textId="77777777" w:rsidR="00BA28B8" w:rsidRPr="00721590" w:rsidRDefault="00BA28B8">
      <w:pPr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br w:type="page"/>
      </w:r>
    </w:p>
    <w:p w14:paraId="594FF61B" w14:textId="0BB2855C" w:rsidR="005A7234" w:rsidRPr="00721590" w:rsidRDefault="005A723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>T</w:t>
      </w:r>
      <w:r w:rsidR="00BA28B8" w:rsidRPr="00721590">
        <w:rPr>
          <w:rFonts w:cstheme="minorHAnsi"/>
          <w:iCs/>
          <w:sz w:val="24"/>
          <w:szCs w:val="24"/>
        </w:rPr>
        <w:t>ABLE</w:t>
      </w:r>
      <w:r w:rsidRPr="00721590">
        <w:rPr>
          <w:rFonts w:cstheme="minorHAnsi"/>
          <w:iCs/>
          <w:sz w:val="24"/>
          <w:szCs w:val="24"/>
        </w:rPr>
        <w:t xml:space="preserve"> 2. Model results for the best fitting GLM</w:t>
      </w:r>
      <w:r w:rsidR="00201D5C" w:rsidRPr="00721590">
        <w:rPr>
          <w:rFonts w:cstheme="minorHAnsi"/>
          <w:iCs/>
          <w:sz w:val="24"/>
          <w:szCs w:val="24"/>
        </w:rPr>
        <w:t xml:space="preserve"> (Generalized Linear Model)</w:t>
      </w:r>
      <w:r w:rsidR="00B913CB" w:rsidRPr="00721590">
        <w:rPr>
          <w:rFonts w:cstheme="minorHAnsi"/>
          <w:iCs/>
          <w:sz w:val="24"/>
          <w:szCs w:val="24"/>
        </w:rPr>
        <w:t xml:space="preserve"> without covariates</w:t>
      </w:r>
      <w:r w:rsidRPr="00721590">
        <w:rPr>
          <w:rFonts w:cstheme="minorHAnsi"/>
          <w:iCs/>
          <w:sz w:val="24"/>
          <w:szCs w:val="24"/>
        </w:rPr>
        <w:t xml:space="preserve"> (Table 1) </w:t>
      </w:r>
      <w:r w:rsidR="00984A32" w:rsidRPr="00721590">
        <w:rPr>
          <w:rFonts w:cstheme="minorHAnsi"/>
          <w:iCs/>
          <w:sz w:val="24"/>
          <w:szCs w:val="24"/>
        </w:rPr>
        <w:t xml:space="preserve">of oyster counts on intertidal reefs in the Big Bend </w:t>
      </w:r>
      <w:r w:rsidR="0064341F">
        <w:rPr>
          <w:rFonts w:cstheme="minorHAnsi"/>
          <w:iCs/>
          <w:sz w:val="24"/>
          <w:szCs w:val="24"/>
        </w:rPr>
        <w:t xml:space="preserve">region </w:t>
      </w:r>
      <w:r w:rsidR="00984A32" w:rsidRPr="00721590">
        <w:rPr>
          <w:rFonts w:cstheme="minorHAnsi"/>
          <w:iCs/>
          <w:sz w:val="24"/>
          <w:szCs w:val="24"/>
        </w:rPr>
        <w:t>of Florida,</w:t>
      </w:r>
      <w:r w:rsidRPr="00721590">
        <w:rPr>
          <w:rFonts w:cstheme="minorHAnsi"/>
          <w:iCs/>
          <w:sz w:val="24"/>
          <w:szCs w:val="24"/>
        </w:rPr>
        <w:t xml:space="preserve"> where oyster counts = period * site + locality + offset(log(transect length))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>Parameter estimates are on log scale.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558"/>
        <w:gridCol w:w="1558"/>
        <w:gridCol w:w="1558"/>
        <w:gridCol w:w="1559"/>
      </w:tblGrid>
      <w:tr w:rsidR="005A7234" w:rsidRPr="00721590" w14:paraId="1CE28D37" w14:textId="77777777" w:rsidTr="00BA28B8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F3D3F7A" w14:textId="546C022A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5BB8EC22" w14:textId="4E9BD6EE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047B2C2" w14:textId="2F57672E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Std.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9A1B796" w14:textId="77777777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z value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C0CB9AE" w14:textId="77A15001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721590">
              <w:rPr>
                <w:rFonts w:cstheme="minorHAnsi"/>
                <w:iCs/>
                <w:sz w:val="24"/>
                <w:szCs w:val="24"/>
              </w:rPr>
              <w:t>Pr</w:t>
            </w:r>
            <w:proofErr w:type="spellEnd"/>
            <w:r w:rsidRPr="00721590">
              <w:rPr>
                <w:rFonts w:cstheme="minorHAnsi"/>
                <w:iCs/>
                <w:sz w:val="24"/>
                <w:szCs w:val="24"/>
              </w:rPr>
              <w:t>(&gt;|z|)</w:t>
            </w:r>
          </w:p>
        </w:tc>
      </w:tr>
      <w:tr w:rsidR="005A7234" w:rsidRPr="00721590" w14:paraId="05BF33CA" w14:textId="77777777" w:rsidTr="00BA28B8">
        <w:tc>
          <w:tcPr>
            <w:tcW w:w="2610" w:type="dxa"/>
            <w:tcBorders>
              <w:top w:val="single" w:sz="4" w:space="0" w:color="auto"/>
            </w:tcBorders>
          </w:tcPr>
          <w:p w14:paraId="3A5025A9" w14:textId="0A559F73" w:rsidR="005A7234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Intercept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FC1A474" w14:textId="05C44B2B" w:rsidR="005A7234" w:rsidRPr="00721590" w:rsidRDefault="000B5746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5.18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2CECABC" w14:textId="56846359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38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2446AE9" w14:textId="2FE4260C" w:rsidR="005A7234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13.57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5C6339A" w14:textId="0A13FC2F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&lt; </w:t>
            </w:r>
            <w:r w:rsidR="00FB2A58" w:rsidRPr="00721590">
              <w:rPr>
                <w:rFonts w:cstheme="minorHAnsi"/>
                <w:iCs/>
                <w:sz w:val="24"/>
                <w:szCs w:val="24"/>
              </w:rPr>
              <w:t>0.01</w:t>
            </w:r>
          </w:p>
        </w:tc>
      </w:tr>
      <w:tr w:rsidR="005A7234" w:rsidRPr="00721590" w14:paraId="7F79C380" w14:textId="77777777" w:rsidTr="00BA28B8">
        <w:tc>
          <w:tcPr>
            <w:tcW w:w="2610" w:type="dxa"/>
          </w:tcPr>
          <w:p w14:paraId="133288EE" w14:textId="7D7DD838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P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eriod      </w:t>
            </w:r>
          </w:p>
        </w:tc>
        <w:tc>
          <w:tcPr>
            <w:tcW w:w="1558" w:type="dxa"/>
          </w:tcPr>
          <w:p w14:paraId="14BBBCF3" w14:textId="6E4C9569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-0.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10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014C6962" w14:textId="0B0CC453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6B73836E" w14:textId="03D45C47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2.79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98600F5" w14:textId="04E4C525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5</w:t>
            </w:r>
          </w:p>
        </w:tc>
      </w:tr>
      <w:tr w:rsidR="005A7234" w:rsidRPr="00721590" w14:paraId="298ADFCD" w14:textId="77777777" w:rsidTr="00BA28B8">
        <w:tc>
          <w:tcPr>
            <w:tcW w:w="2610" w:type="dxa"/>
          </w:tcPr>
          <w:p w14:paraId="7D4DFD4F" w14:textId="62DB77AC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Nearshore site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</w:tcPr>
          <w:p w14:paraId="33FBAA9F" w14:textId="3BBE5C75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-1.</w:t>
            </w:r>
            <w:r w:rsidR="00DE244A" w:rsidRPr="00721590">
              <w:rPr>
                <w:rFonts w:cstheme="minorHAnsi"/>
                <w:iCs/>
                <w:sz w:val="24"/>
                <w:szCs w:val="24"/>
              </w:rPr>
              <w:t>57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58CD7764" w14:textId="10EDD5FD" w:rsidR="005A7234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0.21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</w:tcPr>
          <w:p w14:paraId="5D6A2B2A" w14:textId="0F370A74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7.38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D06E36B" w14:textId="478F0335" w:rsidR="005A7234" w:rsidRPr="00721590" w:rsidRDefault="00FB2A5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&lt; 0.01</w:t>
            </w:r>
          </w:p>
        </w:tc>
      </w:tr>
      <w:tr w:rsidR="005A7234" w:rsidRPr="00721590" w14:paraId="5ADB155D" w14:textId="77777777" w:rsidTr="00BA28B8">
        <w:tc>
          <w:tcPr>
            <w:tcW w:w="2610" w:type="dxa"/>
          </w:tcPr>
          <w:p w14:paraId="4FB88CD8" w14:textId="74B523A6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76001E58" w14:textId="078E77EC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-</w:t>
            </w:r>
            <w:r w:rsidR="00DE244A" w:rsidRPr="00721590">
              <w:rPr>
                <w:rFonts w:cstheme="minorHAnsi"/>
                <w:iCs/>
                <w:sz w:val="24"/>
                <w:szCs w:val="24"/>
              </w:rPr>
              <w:t>1.85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7D991B0A" w14:textId="04FB1775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0.21 </w:t>
            </w:r>
          </w:p>
        </w:tc>
        <w:tc>
          <w:tcPr>
            <w:tcW w:w="1558" w:type="dxa"/>
          </w:tcPr>
          <w:p w14:paraId="75AF3F3F" w14:textId="2FBF83A6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8.99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</w:tcPr>
          <w:p w14:paraId="5F1A5463" w14:textId="612A4E38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&lt; </w:t>
            </w:r>
            <w:r w:rsidR="00FB2A58" w:rsidRPr="00721590">
              <w:rPr>
                <w:rFonts w:cstheme="minorHAnsi"/>
                <w:iCs/>
                <w:sz w:val="24"/>
                <w:szCs w:val="24"/>
              </w:rPr>
              <w:t>0.01</w:t>
            </w:r>
          </w:p>
        </w:tc>
      </w:tr>
      <w:tr w:rsidR="005A7234" w:rsidRPr="00721590" w14:paraId="34F0239B" w14:textId="77777777" w:rsidTr="00BA28B8">
        <w:tc>
          <w:tcPr>
            <w:tcW w:w="2610" w:type="dxa"/>
          </w:tcPr>
          <w:p w14:paraId="21CF82C1" w14:textId="58C77469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30D7E428" w14:textId="2F07AF29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-0.06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6558954A" w14:textId="6844816A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43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</w:tcPr>
          <w:p w14:paraId="12643205" w14:textId="2725A184" w:rsidR="005A7234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-0.14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8DFA024" w14:textId="69B20EE8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89</w:t>
            </w:r>
          </w:p>
        </w:tc>
      </w:tr>
      <w:tr w:rsidR="005A7234" w:rsidRPr="00721590" w14:paraId="2F6CDBE2" w14:textId="77777777" w:rsidTr="00BA28B8">
        <w:tc>
          <w:tcPr>
            <w:tcW w:w="2610" w:type="dxa"/>
          </w:tcPr>
          <w:p w14:paraId="7B92CDC4" w14:textId="0AC4DC64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Horseshoe Beach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</w:tcPr>
          <w:p w14:paraId="49ECDDF3" w14:textId="6EF2BED5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-0.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38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1F0B95F6" w14:textId="718FE870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43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</w:tcPr>
          <w:p w14:paraId="1A84BA50" w14:textId="38D502A7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0.89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0EC4E86" w14:textId="5ED3A525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37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</w:tr>
      <w:tr w:rsidR="005A7234" w:rsidRPr="00721590" w14:paraId="1C8ABF58" w14:textId="77777777" w:rsidTr="00BA28B8">
        <w:tc>
          <w:tcPr>
            <w:tcW w:w="2610" w:type="dxa"/>
          </w:tcPr>
          <w:p w14:paraId="7E3C387A" w14:textId="72AF7259" w:rsidR="005A7234" w:rsidRPr="00721590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674F962E" w14:textId="78736C88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1.21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73415845" w14:textId="7F17936A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42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</w:tcPr>
          <w:p w14:paraId="2CE44F0C" w14:textId="467F4D02" w:rsidR="005A7234" w:rsidRPr="00721590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2.87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DB93C20" w14:textId="0E83DEAC" w:rsidR="005A7234" w:rsidRPr="00721590" w:rsidRDefault="00FB2A5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&lt;0.01</w:t>
            </w:r>
            <w:r w:rsidR="005A7234"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</w:tr>
      <w:tr w:rsidR="00F2108F" w:rsidRPr="00721590" w14:paraId="6BE44231" w14:textId="77777777" w:rsidTr="00BA28B8">
        <w:tc>
          <w:tcPr>
            <w:tcW w:w="2610" w:type="dxa"/>
          </w:tcPr>
          <w:p w14:paraId="11DB42ED" w14:textId="633D31BF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</w:t>
            </w:r>
            <w:r w:rsidR="001A11F2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locality Corrigan’s Reef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23A33B2B" w14:textId="4CE6DC1B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3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48219585" w14:textId="4F96DBEA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5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</w:tcPr>
          <w:p w14:paraId="4B71F24C" w14:textId="697F6D42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60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6D69256C" w14:textId="588F613B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55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</w:tr>
      <w:tr w:rsidR="00F2108F" w:rsidRPr="00721590" w14:paraId="3A0E5F20" w14:textId="77777777" w:rsidTr="00FB2A58">
        <w:tc>
          <w:tcPr>
            <w:tcW w:w="2610" w:type="dxa"/>
          </w:tcPr>
          <w:p w14:paraId="2ECC4352" w14:textId="6CA282C5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</w:t>
            </w:r>
            <w:r w:rsidR="001A11F2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locality Horseshoe Beach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6D3F5B75" w14:textId="0068045D" w:rsidR="00F2108F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-0.001</w:t>
            </w:r>
            <w:r w:rsidR="00F2108F"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1558" w:type="dxa"/>
          </w:tcPr>
          <w:p w14:paraId="32A479F6" w14:textId="502B6185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5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</w:tcPr>
          <w:p w14:paraId="6AE79FEA" w14:textId="2B4900F6" w:rsidR="00F2108F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-0.02</w:t>
            </w:r>
            <w:r w:rsidR="00F2108F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52EED422" w14:textId="2AB6A872" w:rsidR="00F2108F" w:rsidRPr="00721590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98</w:t>
            </w:r>
          </w:p>
        </w:tc>
      </w:tr>
      <w:tr w:rsidR="001A11F2" w:rsidRPr="00721590" w14:paraId="54E29E97" w14:textId="77777777" w:rsidTr="00BA28B8">
        <w:tc>
          <w:tcPr>
            <w:tcW w:w="2610" w:type="dxa"/>
            <w:tcBorders>
              <w:bottom w:val="single" w:sz="4" w:space="0" w:color="auto"/>
            </w:tcBorders>
          </w:tcPr>
          <w:p w14:paraId="49E1300A" w14:textId="77777777" w:rsidR="005E31B4" w:rsidRDefault="001A11F2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locality </w:t>
            </w:r>
          </w:p>
          <w:p w14:paraId="7174E811" w14:textId="05D7FBBD" w:rsidR="001A11F2" w:rsidRPr="00721590" w:rsidRDefault="001A11F2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Lone Cabbage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CF7D880" w14:textId="795E1970" w:rsidR="001A11F2" w:rsidRPr="00721590" w:rsidDel="001A11F2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0.11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B3977F3" w14:textId="5E8F72A6" w:rsidR="001A11F2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0.004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6BB69C4" w14:textId="07EE3E9F" w:rsidR="001A11F2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2.76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5386D" w14:textId="74022C3F" w:rsidR="001A11F2" w:rsidRPr="00721590" w:rsidRDefault="00FB2A5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&lt; 0.01</w:t>
            </w:r>
          </w:p>
        </w:tc>
      </w:tr>
    </w:tbl>
    <w:p w14:paraId="3330719C" w14:textId="6A75EF48" w:rsidR="00F41CC3" w:rsidRPr="00721590" w:rsidRDefault="00F41CC3" w:rsidP="009D4EA6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br w:type="page"/>
      </w:r>
    </w:p>
    <w:p w14:paraId="365B7191" w14:textId="0B193524" w:rsidR="005A7234" w:rsidRPr="00721590" w:rsidRDefault="005A723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>T</w:t>
      </w:r>
      <w:r w:rsidR="00BA28B8" w:rsidRPr="00721590">
        <w:rPr>
          <w:rFonts w:cstheme="minorHAnsi"/>
          <w:iCs/>
          <w:sz w:val="24"/>
          <w:szCs w:val="24"/>
        </w:rPr>
        <w:t>ABLE</w:t>
      </w:r>
      <w:r w:rsidRPr="00721590">
        <w:rPr>
          <w:rFonts w:cstheme="minorHAnsi"/>
          <w:iCs/>
          <w:sz w:val="24"/>
          <w:szCs w:val="24"/>
        </w:rPr>
        <w:t xml:space="preserve"> </w:t>
      </w:r>
      <w:r w:rsidR="00EC66C9" w:rsidRPr="00721590">
        <w:rPr>
          <w:rFonts w:cstheme="minorHAnsi"/>
          <w:iCs/>
          <w:sz w:val="24"/>
          <w:szCs w:val="24"/>
        </w:rPr>
        <w:t>3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7F11CA" w:rsidRPr="00721590">
        <w:rPr>
          <w:rFonts w:cstheme="minorHAnsi"/>
          <w:iCs/>
          <w:sz w:val="24"/>
          <w:szCs w:val="24"/>
        </w:rPr>
        <w:t xml:space="preserve">Model selection table assessing improvements in the fit of best fit </w:t>
      </w:r>
      <w:r w:rsidR="00201D5C" w:rsidRPr="00721590">
        <w:rPr>
          <w:rFonts w:cstheme="minorHAnsi"/>
          <w:iCs/>
          <w:sz w:val="24"/>
          <w:szCs w:val="24"/>
        </w:rPr>
        <w:t>GLM (Generalized Linear Model)</w:t>
      </w:r>
      <w:r w:rsidR="007F11CA" w:rsidRPr="00721590">
        <w:rPr>
          <w:rFonts w:cstheme="minorHAnsi"/>
          <w:iCs/>
          <w:sz w:val="24"/>
          <w:szCs w:val="24"/>
        </w:rPr>
        <w:t xml:space="preserve"> from Table 1 (oyster counts = period * </w:t>
      </w:r>
      <w:r w:rsidR="001A11F2" w:rsidRPr="00721590">
        <w:rPr>
          <w:rFonts w:cstheme="minorHAnsi"/>
          <w:iCs/>
          <w:sz w:val="24"/>
          <w:szCs w:val="24"/>
        </w:rPr>
        <w:t>locality</w:t>
      </w:r>
      <w:r w:rsidR="007F11CA" w:rsidRPr="00721590">
        <w:rPr>
          <w:rFonts w:cstheme="minorHAnsi"/>
          <w:iCs/>
          <w:sz w:val="24"/>
          <w:szCs w:val="24"/>
        </w:rPr>
        <w:t xml:space="preserve"> + </w:t>
      </w:r>
      <w:r w:rsidR="001A11F2" w:rsidRPr="00721590">
        <w:rPr>
          <w:rFonts w:cstheme="minorHAnsi"/>
          <w:iCs/>
          <w:sz w:val="24"/>
          <w:szCs w:val="24"/>
        </w:rPr>
        <w:t xml:space="preserve">site </w:t>
      </w:r>
      <w:r w:rsidR="007F11CA" w:rsidRPr="00721590">
        <w:rPr>
          <w:rFonts w:cstheme="minorHAnsi"/>
          <w:iCs/>
          <w:sz w:val="24"/>
          <w:szCs w:val="24"/>
        </w:rPr>
        <w:t xml:space="preserve">+ offset(log(transect length))) </w:t>
      </w:r>
      <w:r w:rsidR="00B913CB" w:rsidRPr="00721590">
        <w:rPr>
          <w:rFonts w:cstheme="minorHAnsi"/>
          <w:iCs/>
          <w:sz w:val="24"/>
          <w:szCs w:val="24"/>
        </w:rPr>
        <w:t xml:space="preserve">with the </w:t>
      </w:r>
      <w:r w:rsidR="007F11CA" w:rsidRPr="00721590">
        <w:rPr>
          <w:rFonts w:cstheme="minorHAnsi"/>
          <w:iCs/>
          <w:sz w:val="24"/>
          <w:szCs w:val="24"/>
        </w:rPr>
        <w:t>addition of covariate described</w:t>
      </w:r>
      <w:proofErr w:type="gramStart"/>
      <w:r w:rsidR="007F11CA" w:rsidRPr="00721590">
        <w:rPr>
          <w:rFonts w:cstheme="minorHAnsi"/>
          <w:iCs/>
          <w:sz w:val="24"/>
          <w:szCs w:val="24"/>
        </w:rPr>
        <w:t xml:space="preserve">.  </w:t>
      </w:r>
      <w:proofErr w:type="gramEnd"/>
    </w:p>
    <w:tbl>
      <w:tblPr>
        <w:tblStyle w:val="TableGrid"/>
        <w:tblW w:w="10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1440"/>
        <w:gridCol w:w="1265"/>
        <w:gridCol w:w="1338"/>
        <w:gridCol w:w="1170"/>
      </w:tblGrid>
      <w:tr w:rsidR="00F768D9" w:rsidRPr="00721590" w14:paraId="50F3D5F9" w14:textId="1CE4E2F4" w:rsidTr="00CE240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C2EB47E" w14:textId="0278508D" w:rsidR="00F768D9" w:rsidRPr="00721590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Covariate description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6CF0A1C" w14:textId="1C61CD4D" w:rsidR="00F768D9" w:rsidRPr="00721590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Number of parameters  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0FC3A0D4" w14:textId="77777777" w:rsidR="00F768D9" w:rsidRPr="00721590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95C4987" w14:textId="3B4B5095" w:rsidR="00F768D9" w:rsidRPr="00721590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Delta AIC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3E37D37" w14:textId="535F2BC2" w:rsidR="00F768D9" w:rsidRPr="00721590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AIC Weight</w:t>
            </w:r>
          </w:p>
        </w:tc>
      </w:tr>
      <w:tr w:rsidR="00F768D9" w:rsidRPr="00721590" w14:paraId="7E86EA5B" w14:textId="194760E7" w:rsidTr="00CE2403">
        <w:tc>
          <w:tcPr>
            <w:tcW w:w="5040" w:type="dxa"/>
            <w:tcBorders>
              <w:top w:val="single" w:sz="4" w:space="0" w:color="auto"/>
            </w:tcBorders>
          </w:tcPr>
          <w:p w14:paraId="35648334" w14:textId="75D03217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Mean annual</w:t>
            </w:r>
            <w:r w:rsidR="0002033C" w:rsidRPr="00721590">
              <w:rPr>
                <w:rFonts w:cstheme="minorHAnsi"/>
                <w:iCs/>
                <w:sz w:val="24"/>
                <w:szCs w:val="24"/>
              </w:rPr>
              <w:t xml:space="preserve"> daily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discharge with </w:t>
            </w:r>
            <w:r w:rsidR="00CE2403" w:rsidRPr="00721590">
              <w:rPr>
                <w:rFonts w:cstheme="minorHAnsi"/>
                <w:iCs/>
                <w:sz w:val="24"/>
                <w:szCs w:val="24"/>
              </w:rPr>
              <w:t>one</w:t>
            </w:r>
            <w:r w:rsidRPr="00721590">
              <w:rPr>
                <w:rFonts w:cstheme="minorHAnsi"/>
                <w:iCs/>
                <w:sz w:val="24"/>
                <w:szCs w:val="24"/>
              </w:rPr>
              <w:t>-year lag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C0A423F" w14:textId="5CECAB1C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609C5B5A" w14:textId="7E6D4502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54.37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20ADAE7A" w14:textId="3A0C86E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  0.00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25D410D" w14:textId="40FD56E3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0.5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0</w:t>
            </w:r>
          </w:p>
        </w:tc>
      </w:tr>
      <w:tr w:rsidR="00F768D9" w:rsidRPr="00721590" w14:paraId="176FCD73" w14:textId="342294F4" w:rsidTr="00CE2403">
        <w:tc>
          <w:tcPr>
            <w:tcW w:w="5040" w:type="dxa"/>
          </w:tcPr>
          <w:p w14:paraId="7E826590" w14:textId="4D4AA22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Annual landings with </w:t>
            </w:r>
            <w:r w:rsidR="00CE2403" w:rsidRPr="00721590">
              <w:rPr>
                <w:rFonts w:cstheme="minorHAnsi"/>
                <w:iCs/>
                <w:sz w:val="24"/>
                <w:szCs w:val="24"/>
              </w:rPr>
              <w:t>two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-year lag </w:t>
            </w:r>
          </w:p>
        </w:tc>
        <w:tc>
          <w:tcPr>
            <w:tcW w:w="1440" w:type="dxa"/>
          </w:tcPr>
          <w:p w14:paraId="6B7F364D" w14:textId="38F5FB85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0A5324E2" w14:textId="4FBEF881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75.76</w:t>
            </w:r>
          </w:p>
        </w:tc>
        <w:tc>
          <w:tcPr>
            <w:tcW w:w="1338" w:type="dxa"/>
          </w:tcPr>
          <w:p w14:paraId="464BC940" w14:textId="6C5048DF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2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1.38</w:t>
            </w:r>
          </w:p>
        </w:tc>
        <w:tc>
          <w:tcPr>
            <w:tcW w:w="1170" w:type="dxa"/>
          </w:tcPr>
          <w:p w14:paraId="2DB91947" w14:textId="0B86BB36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67D86B87" w14:textId="310B7AF5" w:rsidTr="00CE2403">
        <w:tc>
          <w:tcPr>
            <w:tcW w:w="5040" w:type="dxa"/>
          </w:tcPr>
          <w:p w14:paraId="37298267" w14:textId="194F433F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Annual 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discharge year of count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4E7C8A26" w14:textId="1C9ACBA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1ACCC0C1" w14:textId="79845FD8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76.98</w:t>
            </w:r>
          </w:p>
        </w:tc>
        <w:tc>
          <w:tcPr>
            <w:tcW w:w="1338" w:type="dxa"/>
          </w:tcPr>
          <w:p w14:paraId="6025C195" w14:textId="665DE3EB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2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2.61</w:t>
            </w:r>
          </w:p>
        </w:tc>
        <w:tc>
          <w:tcPr>
            <w:tcW w:w="1170" w:type="dxa"/>
          </w:tcPr>
          <w:p w14:paraId="2078CB65" w14:textId="4AC8C841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753D13AC" w14:textId="551F929E" w:rsidTr="00CE2403">
        <w:tc>
          <w:tcPr>
            <w:tcW w:w="5040" w:type="dxa"/>
          </w:tcPr>
          <w:p w14:paraId="74A1FC7F" w14:textId="2CBE0183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Annual 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trips with two-year lag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       </w:t>
            </w:r>
          </w:p>
        </w:tc>
        <w:tc>
          <w:tcPr>
            <w:tcW w:w="1440" w:type="dxa"/>
          </w:tcPr>
          <w:p w14:paraId="056087E8" w14:textId="6E6B4D64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634A74D2" w14:textId="2584DFCE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78.02</w:t>
            </w:r>
          </w:p>
        </w:tc>
        <w:tc>
          <w:tcPr>
            <w:tcW w:w="1338" w:type="dxa"/>
          </w:tcPr>
          <w:p w14:paraId="0CEE1094" w14:textId="758A99A8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23.64</w:t>
            </w:r>
          </w:p>
        </w:tc>
        <w:tc>
          <w:tcPr>
            <w:tcW w:w="1170" w:type="dxa"/>
          </w:tcPr>
          <w:p w14:paraId="3748A8B1" w14:textId="13B743F3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41E7BB59" w14:textId="797C5A5A" w:rsidTr="00CE2403">
        <w:tc>
          <w:tcPr>
            <w:tcW w:w="5040" w:type="dxa"/>
          </w:tcPr>
          <w:p w14:paraId="4328A273" w14:textId="38CEC66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Annual landings year of count   </w:t>
            </w:r>
          </w:p>
        </w:tc>
        <w:tc>
          <w:tcPr>
            <w:tcW w:w="1440" w:type="dxa"/>
          </w:tcPr>
          <w:p w14:paraId="08ECDE16" w14:textId="6283D658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0210B056" w14:textId="76C2D1EC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78.90</w:t>
            </w:r>
          </w:p>
        </w:tc>
        <w:tc>
          <w:tcPr>
            <w:tcW w:w="1338" w:type="dxa"/>
          </w:tcPr>
          <w:p w14:paraId="7D10671F" w14:textId="2A35B467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24.53</w:t>
            </w:r>
          </w:p>
        </w:tc>
        <w:tc>
          <w:tcPr>
            <w:tcW w:w="1170" w:type="dxa"/>
          </w:tcPr>
          <w:p w14:paraId="32A3168C" w14:textId="78B68F0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304E6506" w14:textId="6C3DD7F9" w:rsidTr="00CE2403">
        <w:tc>
          <w:tcPr>
            <w:tcW w:w="5040" w:type="dxa"/>
          </w:tcPr>
          <w:p w14:paraId="0D6B8E44" w14:textId="2A0473E4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Annual trips </w:t>
            </w:r>
            <w:r w:rsidR="001A11F2" w:rsidRPr="00721590">
              <w:rPr>
                <w:rFonts w:cstheme="minorHAnsi"/>
                <w:iCs/>
                <w:sz w:val="24"/>
                <w:szCs w:val="24"/>
              </w:rPr>
              <w:t>year of count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23D8D0F" w14:textId="07DEACC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3E5967CB" w14:textId="0497E614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84.47</w:t>
            </w:r>
          </w:p>
        </w:tc>
        <w:tc>
          <w:tcPr>
            <w:tcW w:w="1338" w:type="dxa"/>
          </w:tcPr>
          <w:p w14:paraId="65210BAA" w14:textId="592FC647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3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0.10</w:t>
            </w:r>
          </w:p>
        </w:tc>
        <w:tc>
          <w:tcPr>
            <w:tcW w:w="1170" w:type="dxa"/>
          </w:tcPr>
          <w:p w14:paraId="1B9357F5" w14:textId="64D2E51B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47697AD9" w14:textId="7EA20613" w:rsidTr="00CE2403">
        <w:tc>
          <w:tcPr>
            <w:tcW w:w="5040" w:type="dxa"/>
          </w:tcPr>
          <w:p w14:paraId="4A86566B" w14:textId="74819C4E" w:rsidR="00F768D9" w:rsidRPr="00721590" w:rsidRDefault="001A11F2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No covariates</w:t>
            </w:r>
            <w:r w:rsidR="00F768D9" w:rsidRPr="00721590">
              <w:rPr>
                <w:rFonts w:cstheme="minorHAnsi"/>
                <w:iCs/>
                <w:sz w:val="24"/>
                <w:szCs w:val="24"/>
              </w:rPr>
              <w:t xml:space="preserve">      </w:t>
            </w:r>
          </w:p>
        </w:tc>
        <w:tc>
          <w:tcPr>
            <w:tcW w:w="1440" w:type="dxa"/>
          </w:tcPr>
          <w:p w14:paraId="1EAE2C67" w14:textId="2AF24E43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1AEA239E" w14:textId="2CB13B4E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85.65</w:t>
            </w:r>
          </w:p>
        </w:tc>
        <w:tc>
          <w:tcPr>
            <w:tcW w:w="1338" w:type="dxa"/>
          </w:tcPr>
          <w:p w14:paraId="2E6ECFD6" w14:textId="787A018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31.27</w:t>
            </w:r>
          </w:p>
        </w:tc>
        <w:tc>
          <w:tcPr>
            <w:tcW w:w="1170" w:type="dxa"/>
          </w:tcPr>
          <w:p w14:paraId="28D01053" w14:textId="09AC226A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6CDBF759" w14:textId="510EF8B9" w:rsidTr="00CE2403">
        <w:tc>
          <w:tcPr>
            <w:tcW w:w="5040" w:type="dxa"/>
          </w:tcPr>
          <w:p w14:paraId="349AAAFA" w14:textId="6CE8FAAD" w:rsidR="00F768D9" w:rsidRPr="00721590" w:rsidRDefault="00655A0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Harvest in year of count</w:t>
            </w:r>
            <w:r w:rsidR="00F768D9"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2C9E11FD" w14:textId="461C074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4724D03B" w14:textId="3C5045D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85.86</w:t>
            </w:r>
          </w:p>
        </w:tc>
        <w:tc>
          <w:tcPr>
            <w:tcW w:w="1338" w:type="dxa"/>
          </w:tcPr>
          <w:p w14:paraId="56197A9E" w14:textId="6E9476D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31.49</w:t>
            </w:r>
          </w:p>
        </w:tc>
        <w:tc>
          <w:tcPr>
            <w:tcW w:w="1170" w:type="dxa"/>
          </w:tcPr>
          <w:p w14:paraId="4668B05E" w14:textId="2BB0FBA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40134F94" w14:textId="3942D3DA" w:rsidTr="00CE2403">
        <w:tc>
          <w:tcPr>
            <w:tcW w:w="5040" w:type="dxa"/>
          </w:tcPr>
          <w:p w14:paraId="4DACFD4E" w14:textId="468DEC93" w:rsidR="00F768D9" w:rsidRPr="00721590" w:rsidRDefault="00655A0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Annual discharge with two-year lag</w:t>
            </w:r>
          </w:p>
        </w:tc>
        <w:tc>
          <w:tcPr>
            <w:tcW w:w="1440" w:type="dxa"/>
          </w:tcPr>
          <w:p w14:paraId="007E6970" w14:textId="64CF4553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0C9FA7D6" w14:textId="7EA35EA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86.51</w:t>
            </w:r>
          </w:p>
        </w:tc>
        <w:tc>
          <w:tcPr>
            <w:tcW w:w="1338" w:type="dxa"/>
          </w:tcPr>
          <w:p w14:paraId="51BFD31C" w14:textId="5C736D9B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32.13</w:t>
            </w:r>
          </w:p>
        </w:tc>
        <w:tc>
          <w:tcPr>
            <w:tcW w:w="1170" w:type="dxa"/>
          </w:tcPr>
          <w:p w14:paraId="53C61388" w14:textId="3FB3D40B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721590" w14:paraId="16124DE0" w14:textId="4C63AD9F" w:rsidTr="00FB2A58">
        <w:tc>
          <w:tcPr>
            <w:tcW w:w="5040" w:type="dxa"/>
          </w:tcPr>
          <w:p w14:paraId="1E1007FD" w14:textId="66153A49" w:rsidR="00F768D9" w:rsidRPr="00721590" w:rsidRDefault="00655A0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Annual trips with one-year lag</w:t>
            </w:r>
          </w:p>
        </w:tc>
        <w:tc>
          <w:tcPr>
            <w:tcW w:w="1440" w:type="dxa"/>
          </w:tcPr>
          <w:p w14:paraId="680F339F" w14:textId="5FE7ABDE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2</w:t>
            </w:r>
            <w:r w:rsidRPr="0072159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</w:tcPr>
          <w:p w14:paraId="2A3C5C3D" w14:textId="55B93E89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86.89</w:t>
            </w:r>
          </w:p>
        </w:tc>
        <w:tc>
          <w:tcPr>
            <w:tcW w:w="1338" w:type="dxa"/>
          </w:tcPr>
          <w:p w14:paraId="1E002478" w14:textId="3FC7E77D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32.51</w:t>
            </w:r>
          </w:p>
        </w:tc>
        <w:tc>
          <w:tcPr>
            <w:tcW w:w="1170" w:type="dxa"/>
          </w:tcPr>
          <w:p w14:paraId="27088721" w14:textId="0B53AB28" w:rsidR="00F768D9" w:rsidRPr="00721590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55A08" w:rsidRPr="00721590" w14:paraId="4E99C79A" w14:textId="77777777" w:rsidTr="00CE2403">
        <w:tc>
          <w:tcPr>
            <w:tcW w:w="5040" w:type="dxa"/>
            <w:tcBorders>
              <w:bottom w:val="single" w:sz="4" w:space="0" w:color="auto"/>
            </w:tcBorders>
          </w:tcPr>
          <w:p w14:paraId="1AA15010" w14:textId="2B6A486C" w:rsidR="00655A08" w:rsidRPr="00721590" w:rsidDel="00655A08" w:rsidRDefault="00655A0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Landings with one-year lag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894709" w14:textId="32A11C1A" w:rsidR="00655A08" w:rsidRPr="00721590" w:rsidRDefault="00655A08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12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6276FA36" w14:textId="2B6B1919" w:rsidR="00655A08" w:rsidRPr="00721590" w:rsidRDefault="00655A08" w:rsidP="00FB2A5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3187.05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969D093" w14:textId="212E87C3" w:rsidR="00655A08" w:rsidRPr="00721590" w:rsidRDefault="00FB2A58" w:rsidP="00FB2A5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32.68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B733A8B" w14:textId="0BFA5051" w:rsidR="00655A08" w:rsidRPr="00721590" w:rsidRDefault="00FB2A58" w:rsidP="00FB2A58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  </w:t>
            </w:r>
            <w:r w:rsidR="00655A08" w:rsidRPr="00721590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</w:tbl>
    <w:p w14:paraId="11D7AA4B" w14:textId="77777777" w:rsidR="00F41CC3" w:rsidRPr="00721590" w:rsidRDefault="00F41CC3" w:rsidP="009D4EA6">
      <w:pPr>
        <w:spacing w:line="480" w:lineRule="auto"/>
        <w:rPr>
          <w:rFonts w:cstheme="minorHAnsi"/>
          <w:iCs/>
          <w:sz w:val="24"/>
          <w:szCs w:val="24"/>
        </w:rPr>
      </w:pPr>
    </w:p>
    <w:p w14:paraId="35CEC8BB" w14:textId="77777777" w:rsidR="00BA28B8" w:rsidRPr="00721590" w:rsidRDefault="00BA28B8">
      <w:pPr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br w:type="page"/>
      </w:r>
    </w:p>
    <w:p w14:paraId="2F62CC35" w14:textId="61184F23" w:rsidR="00D17BB4" w:rsidRPr="00721590" w:rsidRDefault="00D17BB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>T</w:t>
      </w:r>
      <w:r w:rsidR="00BA28B8" w:rsidRPr="00721590">
        <w:rPr>
          <w:rFonts w:cstheme="minorHAnsi"/>
          <w:iCs/>
          <w:sz w:val="24"/>
          <w:szCs w:val="24"/>
        </w:rPr>
        <w:t>ABLE</w:t>
      </w:r>
      <w:r w:rsidRPr="00721590">
        <w:rPr>
          <w:rFonts w:cstheme="minorHAnsi"/>
          <w:iCs/>
          <w:sz w:val="24"/>
          <w:szCs w:val="24"/>
        </w:rPr>
        <w:t xml:space="preserve"> 4. Model results for the best fitting GLM</w:t>
      </w:r>
      <w:r w:rsidR="00201D5C" w:rsidRPr="00721590">
        <w:rPr>
          <w:rFonts w:cstheme="minorHAnsi"/>
          <w:iCs/>
          <w:sz w:val="24"/>
          <w:szCs w:val="24"/>
        </w:rPr>
        <w:t xml:space="preserve"> (Generalized Linear Model)</w:t>
      </w:r>
      <w:r w:rsidRPr="00721590">
        <w:rPr>
          <w:rFonts w:cstheme="minorHAnsi"/>
          <w:iCs/>
          <w:sz w:val="24"/>
          <w:szCs w:val="24"/>
        </w:rPr>
        <w:t xml:space="preserve"> (Table </w:t>
      </w:r>
      <w:r w:rsidR="00B913CB" w:rsidRPr="00721590">
        <w:rPr>
          <w:rFonts w:cstheme="minorHAnsi"/>
          <w:iCs/>
          <w:sz w:val="24"/>
          <w:szCs w:val="24"/>
        </w:rPr>
        <w:t>3</w:t>
      </w:r>
      <w:r w:rsidRPr="00721590">
        <w:rPr>
          <w:rFonts w:cstheme="minorHAnsi"/>
          <w:iCs/>
          <w:sz w:val="24"/>
          <w:szCs w:val="24"/>
        </w:rPr>
        <w:t xml:space="preserve">) </w:t>
      </w:r>
      <w:r w:rsidR="00984A32" w:rsidRPr="00721590">
        <w:rPr>
          <w:rFonts w:cstheme="minorHAnsi"/>
          <w:iCs/>
          <w:sz w:val="24"/>
          <w:szCs w:val="24"/>
        </w:rPr>
        <w:t xml:space="preserve">of oyster counts on intertidal reefs in the Big Bend </w:t>
      </w:r>
      <w:r w:rsidR="0064341F">
        <w:rPr>
          <w:rFonts w:cstheme="minorHAnsi"/>
          <w:iCs/>
          <w:sz w:val="24"/>
          <w:szCs w:val="24"/>
        </w:rPr>
        <w:t xml:space="preserve">region </w:t>
      </w:r>
      <w:r w:rsidR="00984A32" w:rsidRPr="00721590">
        <w:rPr>
          <w:rFonts w:cstheme="minorHAnsi"/>
          <w:iCs/>
          <w:sz w:val="24"/>
          <w:szCs w:val="24"/>
        </w:rPr>
        <w:t>of Florida</w:t>
      </w:r>
      <w:r w:rsidRPr="00721590">
        <w:rPr>
          <w:rFonts w:cstheme="minorHAnsi"/>
          <w:iCs/>
          <w:sz w:val="24"/>
          <w:szCs w:val="24"/>
        </w:rPr>
        <w:t xml:space="preserve"> where oyster counts = period * </w:t>
      </w:r>
      <w:r w:rsidR="00655A08" w:rsidRPr="00721590">
        <w:rPr>
          <w:rFonts w:cstheme="minorHAnsi"/>
          <w:iCs/>
          <w:sz w:val="24"/>
          <w:szCs w:val="24"/>
        </w:rPr>
        <w:t>locality</w:t>
      </w:r>
      <w:r w:rsidRPr="00721590">
        <w:rPr>
          <w:rFonts w:cstheme="minorHAnsi"/>
          <w:iCs/>
          <w:sz w:val="24"/>
          <w:szCs w:val="24"/>
        </w:rPr>
        <w:t xml:space="preserve"> + </w:t>
      </w:r>
      <w:r w:rsidR="00655A08" w:rsidRPr="00721590">
        <w:rPr>
          <w:rFonts w:cstheme="minorHAnsi"/>
          <w:iCs/>
          <w:sz w:val="24"/>
          <w:szCs w:val="24"/>
        </w:rPr>
        <w:t xml:space="preserve">site </w:t>
      </w:r>
      <w:r w:rsidRPr="00721590">
        <w:rPr>
          <w:rFonts w:cstheme="minorHAnsi"/>
          <w:iCs/>
          <w:sz w:val="24"/>
          <w:szCs w:val="24"/>
        </w:rPr>
        <w:t xml:space="preserve">+ </w:t>
      </w:r>
      <w:r w:rsidR="00C55CDB" w:rsidRPr="00721590">
        <w:rPr>
          <w:rFonts w:cstheme="minorHAnsi"/>
          <w:iCs/>
          <w:sz w:val="24"/>
          <w:szCs w:val="24"/>
        </w:rPr>
        <w:t>mean daily</w:t>
      </w:r>
      <w:r w:rsidRPr="00721590">
        <w:rPr>
          <w:rFonts w:cstheme="minorHAnsi"/>
          <w:iCs/>
          <w:sz w:val="24"/>
          <w:szCs w:val="24"/>
        </w:rPr>
        <w:t xml:space="preserve"> discharge with </w:t>
      </w:r>
      <w:r w:rsidR="00BA28B8" w:rsidRPr="00721590">
        <w:rPr>
          <w:rFonts w:cstheme="minorHAnsi"/>
          <w:iCs/>
          <w:sz w:val="24"/>
          <w:szCs w:val="24"/>
        </w:rPr>
        <w:t>one-</w:t>
      </w:r>
      <w:r w:rsidRPr="00721590">
        <w:rPr>
          <w:rFonts w:cstheme="minorHAnsi"/>
          <w:iCs/>
          <w:sz w:val="24"/>
          <w:szCs w:val="24"/>
        </w:rPr>
        <w:t xml:space="preserve">year lag </w:t>
      </w:r>
      <w:r w:rsidRPr="00721590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721590">
        <w:rPr>
          <w:rFonts w:cstheme="minorHAnsi"/>
          <w:iCs/>
          <w:sz w:val="24"/>
          <w:szCs w:val="24"/>
        </w:rPr>
        <w:t xml:space="preserve"> offset(log(transect length)).  Parameter estimates are on log scale.</w:t>
      </w:r>
    </w:p>
    <w:tbl>
      <w:tblPr>
        <w:tblStyle w:val="TableGrid"/>
        <w:tblW w:w="10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558"/>
        <w:gridCol w:w="1558"/>
        <w:gridCol w:w="1558"/>
        <w:gridCol w:w="1559"/>
      </w:tblGrid>
      <w:tr w:rsidR="00D17BB4" w:rsidRPr="00721590" w14:paraId="2F4FC74D" w14:textId="77777777" w:rsidTr="00B53F8E"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637DE923" w14:textId="674260F2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065D5D4" w14:textId="2A18B176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DC9185C" w14:textId="1177581B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</w:t>
            </w:r>
            <w:r w:rsidR="00201D5C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andard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6B83C16" w14:textId="0A2FEE11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 value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E620D0" w14:textId="5D6F3FD9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</w:t>
            </w:r>
            <w:proofErr w:type="spellEnd"/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(&gt;|z|) </w:t>
            </w:r>
          </w:p>
        </w:tc>
      </w:tr>
      <w:tr w:rsidR="00D17BB4" w:rsidRPr="00721590" w14:paraId="1EF55B3B" w14:textId="77777777" w:rsidTr="00B53F8E">
        <w:tc>
          <w:tcPr>
            <w:tcW w:w="4230" w:type="dxa"/>
            <w:tcBorders>
              <w:top w:val="single" w:sz="4" w:space="0" w:color="auto"/>
            </w:tcBorders>
          </w:tcPr>
          <w:p w14:paraId="229D9FAE" w14:textId="320CADFD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Intercept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4038D5C" w14:textId="5696F4E0" w:rsidR="00D17BB4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5.59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752D045" w14:textId="783D098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37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F0CDCB4" w14:textId="58A30C7B" w:rsidR="00D17BB4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15.23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B7BC5F9" w14:textId="5095848A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</w:t>
            </w:r>
            <w:r w:rsidR="00FB2A5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0.01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17BB4" w:rsidRPr="00721590" w14:paraId="50CDD559" w14:textId="77777777" w:rsidTr="00B53F8E">
        <w:tc>
          <w:tcPr>
            <w:tcW w:w="4230" w:type="dxa"/>
          </w:tcPr>
          <w:p w14:paraId="45B9ABE4" w14:textId="0A2FCFFF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Period      </w:t>
            </w:r>
          </w:p>
        </w:tc>
        <w:tc>
          <w:tcPr>
            <w:tcW w:w="1558" w:type="dxa"/>
          </w:tcPr>
          <w:p w14:paraId="7F043246" w14:textId="0222AA85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12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5F09AF93" w14:textId="06F47002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03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558" w:type="dxa"/>
          </w:tcPr>
          <w:p w14:paraId="11A175E5" w14:textId="6A79BF57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3.84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7A347D59" w14:textId="7B14F895" w:rsidR="00D17BB4" w:rsidRPr="00721590" w:rsidRDefault="00FB2A5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&lt; 0.01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17BB4" w:rsidRPr="00721590" w14:paraId="47C28F37" w14:textId="77777777" w:rsidTr="00B53F8E">
        <w:tc>
          <w:tcPr>
            <w:tcW w:w="4230" w:type="dxa"/>
          </w:tcPr>
          <w:p w14:paraId="037E894F" w14:textId="46DC9C6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Nearshore site   </w:t>
            </w:r>
          </w:p>
        </w:tc>
        <w:tc>
          <w:tcPr>
            <w:tcW w:w="1558" w:type="dxa"/>
          </w:tcPr>
          <w:p w14:paraId="2866443D" w14:textId="71F0B0D1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-1.6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765495E6" w14:textId="39BC423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20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558" w:type="dxa"/>
          </w:tcPr>
          <w:p w14:paraId="26078C2C" w14:textId="06449D89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8.33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559" w:type="dxa"/>
          </w:tcPr>
          <w:p w14:paraId="0A9931F4" w14:textId="6E9158B3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</w:t>
            </w:r>
            <w:r w:rsidR="00FB2A5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0.01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17BB4" w:rsidRPr="00721590" w14:paraId="771A7BD9" w14:textId="77777777" w:rsidTr="00B53F8E">
        <w:tc>
          <w:tcPr>
            <w:tcW w:w="4230" w:type="dxa"/>
          </w:tcPr>
          <w:p w14:paraId="0DFD0D4C" w14:textId="7A2036C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3FF3C7B2" w14:textId="115C3FAE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-2.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15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0640BC27" w14:textId="1B039E73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20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7C7ED864" w14:textId="74E26A01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-11.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03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29406552" w14:textId="5904AC82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</w:t>
            </w:r>
            <w:r w:rsidR="00FB2A5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0.01</w:t>
            </w:r>
          </w:p>
        </w:tc>
      </w:tr>
      <w:tr w:rsidR="00D17BB4" w:rsidRPr="00721590" w14:paraId="20BB197B" w14:textId="77777777" w:rsidTr="00B53F8E">
        <w:tc>
          <w:tcPr>
            <w:tcW w:w="4230" w:type="dxa"/>
          </w:tcPr>
          <w:p w14:paraId="4E0E2918" w14:textId="39A0A67F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104B61E7" w14:textId="2D09AC77" w:rsidR="00D17BB4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-0.16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36F788C6" w14:textId="672A0DB2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41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5146F410" w14:textId="535C55E8" w:rsidR="00D17BB4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-0.40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2A0DE560" w14:textId="185882DF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69</w:t>
            </w:r>
          </w:p>
        </w:tc>
      </w:tr>
      <w:tr w:rsidR="00D17BB4" w:rsidRPr="00721590" w14:paraId="6340E406" w14:textId="77777777" w:rsidTr="00B53F8E">
        <w:tc>
          <w:tcPr>
            <w:tcW w:w="4230" w:type="dxa"/>
          </w:tcPr>
          <w:p w14:paraId="44CD5A87" w14:textId="633C8E3E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 xml:space="preserve">Horseshoe Beach  </w:t>
            </w:r>
          </w:p>
        </w:tc>
        <w:tc>
          <w:tcPr>
            <w:tcW w:w="1558" w:type="dxa"/>
          </w:tcPr>
          <w:p w14:paraId="1516B487" w14:textId="16A15378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0.60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23185D76" w14:textId="460BEDBF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41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78C6371B" w14:textId="52AC9958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-1.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47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673CEC56" w14:textId="4283A075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D17BB4" w:rsidRPr="00721590" w14:paraId="4B7C25A3" w14:textId="77777777" w:rsidTr="00B53F8E">
        <w:tc>
          <w:tcPr>
            <w:tcW w:w="4230" w:type="dxa"/>
          </w:tcPr>
          <w:p w14:paraId="4B78985D" w14:textId="501E0E15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6C7A0DFC" w14:textId="235ADD35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1.52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21777376" w14:textId="6FE4F5E5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40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7E953388" w14:textId="3DBA4282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3.80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3CE6D50E" w14:textId="7C01FE39" w:rsidR="00D17BB4" w:rsidRPr="00721590" w:rsidRDefault="00FB2A5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&lt; 0.01</w:t>
            </w:r>
          </w:p>
        </w:tc>
      </w:tr>
      <w:tr w:rsidR="00D17BB4" w:rsidRPr="00721590" w14:paraId="59BEEB47" w14:textId="77777777" w:rsidTr="00B53F8E">
        <w:tc>
          <w:tcPr>
            <w:tcW w:w="4230" w:type="dxa"/>
          </w:tcPr>
          <w:p w14:paraId="74BCB5A7" w14:textId="435ACF57" w:rsidR="00D17BB4" w:rsidRPr="00721590" w:rsidRDefault="00C55CDB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Mean daily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discharge with </w:t>
            </w:r>
            <w:r w:rsidR="00BA28B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one-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year lag </w:t>
            </w:r>
          </w:p>
        </w:tc>
        <w:tc>
          <w:tcPr>
            <w:tcW w:w="1558" w:type="dxa"/>
          </w:tcPr>
          <w:p w14:paraId="0691C6E6" w14:textId="7382BE79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56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21882984" w14:textId="79D22C3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7FAD7D1F" w14:textId="0EF6B7A9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6.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88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3DA61C1A" w14:textId="33059C0C" w:rsidR="00D17BB4" w:rsidRPr="00721590" w:rsidRDefault="00FB2A5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&lt; 0.01</w:t>
            </w:r>
          </w:p>
        </w:tc>
      </w:tr>
      <w:tr w:rsidR="00D17BB4" w:rsidRPr="00721590" w14:paraId="6EC7511A" w14:textId="77777777" w:rsidTr="00B53F8E">
        <w:tc>
          <w:tcPr>
            <w:tcW w:w="4230" w:type="dxa"/>
          </w:tcPr>
          <w:p w14:paraId="0C54EAB9" w14:textId="50472025" w:rsidR="00D17BB4" w:rsidRPr="00721590" w:rsidRDefault="00F2108F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eriod: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locality Corrigan’s Reef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30BD6C36" w14:textId="42C13C28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6DED2583" w14:textId="0A2D92C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3DC500E2" w14:textId="11642094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0.9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1559" w:type="dxa"/>
          </w:tcPr>
          <w:p w14:paraId="49BFC654" w14:textId="49428A28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0.3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D17BB4" w:rsidRPr="00721590" w14:paraId="2B56DB02" w14:textId="77777777" w:rsidTr="00FB2A58">
        <w:tc>
          <w:tcPr>
            <w:tcW w:w="4230" w:type="dxa"/>
          </w:tcPr>
          <w:p w14:paraId="6F7F423C" w14:textId="65AA4C85" w:rsidR="00D17BB4" w:rsidRPr="00721590" w:rsidRDefault="00F2108F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eriod: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locality Horseshoe Beach</w:t>
            </w:r>
          </w:p>
        </w:tc>
        <w:tc>
          <w:tcPr>
            <w:tcW w:w="1558" w:type="dxa"/>
          </w:tcPr>
          <w:p w14:paraId="001CF84E" w14:textId="6DC90F70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1558" w:type="dxa"/>
          </w:tcPr>
          <w:p w14:paraId="726E693A" w14:textId="55621EAB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</w:t>
            </w: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10C7CC50" w14:textId="303F5E03" w:rsidR="00D17BB4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0.22</w:t>
            </w:r>
            <w:r w:rsidR="00D17BB4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1559" w:type="dxa"/>
          </w:tcPr>
          <w:p w14:paraId="5BF5CCB0" w14:textId="0A067568" w:rsidR="00D17BB4" w:rsidRPr="00721590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</w:t>
            </w:r>
            <w:r w:rsidR="00655A08"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83</w:t>
            </w:r>
          </w:p>
        </w:tc>
      </w:tr>
      <w:tr w:rsidR="00655A08" w:rsidRPr="00721590" w14:paraId="055D2962" w14:textId="77777777" w:rsidTr="00B53F8E">
        <w:tc>
          <w:tcPr>
            <w:tcW w:w="4230" w:type="dxa"/>
            <w:tcBorders>
              <w:bottom w:val="single" w:sz="4" w:space="0" w:color="auto"/>
            </w:tcBorders>
          </w:tcPr>
          <w:p w14:paraId="6C8704DE" w14:textId="16231F70" w:rsidR="00655A08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Period: locality Lone Cabbage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2D2B6AE" w14:textId="2BB96923" w:rsidR="00655A08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0.12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8B6F8C5" w14:textId="1AC47567" w:rsidR="00655A08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E7262F3" w14:textId="5C5A22A5" w:rsidR="00655A08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3.21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54AE5C2" w14:textId="1EB94984" w:rsidR="00655A08" w:rsidRPr="00721590" w:rsidRDefault="00655A08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2159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0.001</w:t>
            </w:r>
          </w:p>
        </w:tc>
      </w:tr>
    </w:tbl>
    <w:p w14:paraId="5C8A7A40" w14:textId="2160FBFA" w:rsidR="00D17BB4" w:rsidRPr="00721590" w:rsidRDefault="00D17BB4" w:rsidP="009D4EA6">
      <w:pPr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21590"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220F4612" w14:textId="7B53B897" w:rsidR="00E8272A" w:rsidRDefault="00EC66C9" w:rsidP="00E9381E">
      <w:pPr>
        <w:spacing w:after="0"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>Figure 1.</w:t>
      </w:r>
      <w:r w:rsidR="005D6337" w:rsidRPr="00721590">
        <w:rPr>
          <w:rFonts w:cstheme="minorHAnsi"/>
          <w:iCs/>
          <w:sz w:val="24"/>
          <w:szCs w:val="24"/>
        </w:rPr>
        <w:t xml:space="preserve"> </w:t>
      </w:r>
      <w:r w:rsidR="00B96DB1" w:rsidRPr="00721590">
        <w:rPr>
          <w:rFonts w:cstheme="minorHAnsi"/>
          <w:iCs/>
          <w:sz w:val="24"/>
          <w:szCs w:val="24"/>
        </w:rPr>
        <w:t>Map of the study area, showing locations of sampling sites within localities of major oyster reef complexes. Within each locality, note that transects were placed on reefs representing a gradient from inshore to offshore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3D676E" w:rsidRPr="00721590">
        <w:rPr>
          <w:rFonts w:cstheme="minorHAnsi"/>
          <w:iCs/>
          <w:sz w:val="24"/>
          <w:szCs w:val="24"/>
        </w:rPr>
        <w:t>For</w:t>
      </w:r>
      <w:r w:rsidR="00B96DB1" w:rsidRPr="00721590">
        <w:rPr>
          <w:rFonts w:cstheme="minorHAnsi"/>
          <w:iCs/>
          <w:sz w:val="24"/>
          <w:szCs w:val="24"/>
        </w:rPr>
        <w:t xml:space="preserve"> offshore reefs, note the coastwise orientation and linearity of reefs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</w:p>
    <w:p w14:paraId="55DD6EF1" w14:textId="0068EFE4" w:rsidR="00DD1BBB" w:rsidRPr="00721590" w:rsidRDefault="00DD1BBB" w:rsidP="00E9381E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1A9825B5" w14:textId="39814841" w:rsidR="007F7AAF" w:rsidRDefault="00EC66C9" w:rsidP="00E9381E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>Figure 2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 xml:space="preserve">Histogram of </w:t>
      </w:r>
      <w:r w:rsidR="003D676E" w:rsidRPr="00721590">
        <w:rPr>
          <w:rFonts w:cstheme="minorHAnsi"/>
          <w:sz w:val="24"/>
          <w:szCs w:val="24"/>
        </w:rPr>
        <w:t xml:space="preserve">probability </w:t>
      </w:r>
      <w:r w:rsidRPr="00721590">
        <w:rPr>
          <w:rFonts w:cstheme="minorHAnsi"/>
          <w:sz w:val="24"/>
          <w:szCs w:val="24"/>
        </w:rPr>
        <w:t>density</w:t>
      </w:r>
      <w:r w:rsidR="003D676E" w:rsidRPr="00721590">
        <w:rPr>
          <w:rFonts w:cstheme="minorHAnsi"/>
          <w:sz w:val="24"/>
          <w:szCs w:val="24"/>
        </w:rPr>
        <w:t xml:space="preserve"> function</w:t>
      </w:r>
      <w:r w:rsidRPr="00721590">
        <w:rPr>
          <w:rFonts w:cstheme="minorHAnsi"/>
          <w:sz w:val="24"/>
          <w:szCs w:val="24"/>
        </w:rPr>
        <w:t xml:space="preserve"> (y-axis) of live oysters counted (x-axis)</w:t>
      </w:r>
      <w:r w:rsidR="002C2557" w:rsidRPr="00721590">
        <w:rPr>
          <w:rFonts w:cstheme="minorHAnsi"/>
          <w:sz w:val="24"/>
          <w:szCs w:val="24"/>
        </w:rPr>
        <w:t xml:space="preserve"> on intertidal reefs </w:t>
      </w:r>
      <w:r w:rsidR="009136AE" w:rsidRPr="00721590">
        <w:rPr>
          <w:rFonts w:cstheme="minorHAnsi"/>
          <w:sz w:val="24"/>
          <w:szCs w:val="24"/>
        </w:rPr>
        <w:t>in Suwannee Sound,</w:t>
      </w:r>
      <w:r w:rsidR="002C2557" w:rsidRPr="00721590">
        <w:rPr>
          <w:rFonts w:cstheme="minorHAnsi"/>
          <w:sz w:val="24"/>
          <w:szCs w:val="24"/>
        </w:rPr>
        <w:t xml:space="preserve"> Florida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>The red line represents the predicted density of oyster counts if these data follow a negative binomial distribution</w:t>
      </w:r>
      <w:r w:rsidR="001B76FB" w:rsidRPr="00721590">
        <w:rPr>
          <w:rFonts w:cstheme="minorHAnsi"/>
          <w:sz w:val="24"/>
          <w:szCs w:val="24"/>
        </w:rPr>
        <w:t xml:space="preserve">. </w:t>
      </w:r>
    </w:p>
    <w:p w14:paraId="55C3CC7C" w14:textId="77777777" w:rsidR="002241A2" w:rsidRDefault="002241A2" w:rsidP="002241A2">
      <w:pPr>
        <w:rPr>
          <w:rFonts w:cstheme="minorHAnsi"/>
          <w:iCs/>
          <w:sz w:val="24"/>
          <w:szCs w:val="24"/>
        </w:rPr>
      </w:pPr>
    </w:p>
    <w:p w14:paraId="39DC39A3" w14:textId="437AB6CE" w:rsidR="00C11832" w:rsidRDefault="007F7AAF" w:rsidP="002241A2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t>Figure 3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>Predicted oyster counts using the best-fit negative binomial model offset by transect length from each locality CK = Cedar Key, CR = Corrigan’s reef, HB = Horseshoe Beach, and LC = Lone Cabbage based on data from 2010-201</w:t>
      </w:r>
      <w:r w:rsidR="005E31B4">
        <w:rPr>
          <w:rFonts w:cstheme="minorHAnsi"/>
          <w:iCs/>
          <w:sz w:val="24"/>
          <w:szCs w:val="24"/>
        </w:rPr>
        <w:t>8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>Colored lines represent Inshore (</w:t>
      </w:r>
      <w:r w:rsidR="00575F7E">
        <w:rPr>
          <w:rFonts w:cstheme="minorHAnsi"/>
          <w:iCs/>
          <w:sz w:val="24"/>
          <w:szCs w:val="24"/>
        </w:rPr>
        <w:t>blue</w:t>
      </w:r>
      <w:r w:rsidRPr="00721590">
        <w:rPr>
          <w:rFonts w:cstheme="minorHAnsi"/>
          <w:iCs/>
          <w:sz w:val="24"/>
          <w:szCs w:val="24"/>
        </w:rPr>
        <w:t>), Nearshore (</w:t>
      </w:r>
      <w:r w:rsidR="00575F7E">
        <w:rPr>
          <w:rFonts w:cstheme="minorHAnsi"/>
          <w:iCs/>
          <w:sz w:val="24"/>
          <w:szCs w:val="24"/>
        </w:rPr>
        <w:t>red</w:t>
      </w:r>
      <w:r w:rsidRPr="00721590">
        <w:rPr>
          <w:rFonts w:cstheme="minorHAnsi"/>
          <w:iCs/>
          <w:sz w:val="24"/>
          <w:szCs w:val="24"/>
        </w:rPr>
        <w:t>), and Offshore (green) sites within each locality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 xml:space="preserve">Shaded regions represent 95% CI </w:t>
      </w:r>
      <w:r w:rsidR="00575F7E">
        <w:rPr>
          <w:rFonts w:cstheme="minorHAnsi"/>
          <w:iCs/>
          <w:sz w:val="24"/>
          <w:szCs w:val="24"/>
        </w:rPr>
        <w:t>for</w:t>
      </w:r>
      <w:r w:rsidRPr="00721590">
        <w:rPr>
          <w:rFonts w:cstheme="minorHAnsi"/>
          <w:iCs/>
          <w:sz w:val="24"/>
          <w:szCs w:val="24"/>
        </w:rPr>
        <w:t xml:space="preserve"> the predicted values.</w:t>
      </w:r>
    </w:p>
    <w:p w14:paraId="4AD7884B" w14:textId="77777777" w:rsidR="002241A2" w:rsidRDefault="002241A2" w:rsidP="002241A2">
      <w:pPr>
        <w:rPr>
          <w:rFonts w:cstheme="minorHAnsi"/>
          <w:sz w:val="24"/>
          <w:szCs w:val="24"/>
        </w:rPr>
      </w:pPr>
    </w:p>
    <w:p w14:paraId="3A7CBE1C" w14:textId="393BEBF2" w:rsidR="00EC66C9" w:rsidRDefault="00EC66C9" w:rsidP="002241A2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>Figure</w:t>
      </w:r>
      <w:r w:rsidR="007F7AAF" w:rsidRPr="00721590">
        <w:rPr>
          <w:rFonts w:cstheme="minorHAnsi"/>
          <w:sz w:val="24"/>
          <w:szCs w:val="24"/>
        </w:rPr>
        <w:t xml:space="preserve"> 4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>Mean daily discharge by year</w:t>
      </w:r>
      <w:r w:rsidR="00E8272A" w:rsidRPr="00721590">
        <w:rPr>
          <w:rFonts w:cstheme="minorHAnsi"/>
          <w:sz w:val="24"/>
          <w:szCs w:val="24"/>
        </w:rPr>
        <w:t xml:space="preserve"> (</w:t>
      </w:r>
      <w:r w:rsidR="00C11832" w:rsidRPr="00721590">
        <w:rPr>
          <w:rFonts w:cstheme="minorHAnsi"/>
          <w:sz w:val="24"/>
          <w:szCs w:val="24"/>
        </w:rPr>
        <w:t xml:space="preserve">panel </w:t>
      </w:r>
      <w:r w:rsidR="00E8272A" w:rsidRPr="00721590">
        <w:rPr>
          <w:rFonts w:cstheme="minorHAnsi"/>
          <w:sz w:val="24"/>
          <w:szCs w:val="24"/>
        </w:rPr>
        <w:t>A)</w:t>
      </w:r>
      <w:r w:rsidRPr="00721590">
        <w:rPr>
          <w:rFonts w:cstheme="minorHAnsi"/>
          <w:sz w:val="24"/>
          <w:szCs w:val="24"/>
        </w:rPr>
        <w:t xml:space="preserve"> and associated variance</w:t>
      </w:r>
      <w:r w:rsidR="00E8272A" w:rsidRPr="00721590">
        <w:rPr>
          <w:rFonts w:cstheme="minorHAnsi"/>
          <w:sz w:val="24"/>
          <w:szCs w:val="24"/>
        </w:rPr>
        <w:t xml:space="preserve"> (</w:t>
      </w:r>
      <w:r w:rsidR="00C11832" w:rsidRPr="00721590">
        <w:rPr>
          <w:rFonts w:cstheme="minorHAnsi"/>
          <w:sz w:val="24"/>
          <w:szCs w:val="24"/>
        </w:rPr>
        <w:t xml:space="preserve">panel </w:t>
      </w:r>
      <w:r w:rsidR="00E8272A" w:rsidRPr="00721590">
        <w:rPr>
          <w:rFonts w:cstheme="minorHAnsi"/>
          <w:sz w:val="24"/>
          <w:szCs w:val="24"/>
        </w:rPr>
        <w:t>B)</w:t>
      </w:r>
      <w:r w:rsidRPr="00721590">
        <w:rPr>
          <w:rFonts w:cstheme="minorHAnsi"/>
          <w:sz w:val="24"/>
          <w:szCs w:val="24"/>
        </w:rPr>
        <w:t xml:space="preserve"> and CV </w:t>
      </w:r>
      <w:r w:rsidR="00E8272A" w:rsidRPr="00721590">
        <w:rPr>
          <w:rFonts w:cstheme="minorHAnsi"/>
          <w:sz w:val="24"/>
          <w:szCs w:val="24"/>
        </w:rPr>
        <w:t>(</w:t>
      </w:r>
      <w:r w:rsidR="00C11832" w:rsidRPr="00721590">
        <w:rPr>
          <w:rFonts w:cstheme="minorHAnsi"/>
          <w:sz w:val="24"/>
          <w:szCs w:val="24"/>
        </w:rPr>
        <w:t xml:space="preserve">panel </w:t>
      </w:r>
      <w:r w:rsidR="00E8272A" w:rsidRPr="00721590">
        <w:rPr>
          <w:rFonts w:cstheme="minorHAnsi"/>
          <w:sz w:val="24"/>
          <w:szCs w:val="24"/>
        </w:rPr>
        <w:t xml:space="preserve">C) </w:t>
      </w:r>
      <w:r w:rsidRPr="00721590">
        <w:rPr>
          <w:rFonts w:cstheme="minorHAnsi"/>
          <w:sz w:val="24"/>
          <w:szCs w:val="24"/>
        </w:rPr>
        <w:t xml:space="preserve">of daily discharge for the Suwannee River measured at USGS Wilcox gauge from October 1941 to </w:t>
      </w:r>
      <w:r w:rsidR="00C11832" w:rsidRPr="00721590">
        <w:rPr>
          <w:rFonts w:cstheme="minorHAnsi"/>
          <w:sz w:val="24"/>
          <w:szCs w:val="24"/>
        </w:rPr>
        <w:t>December 2018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 xml:space="preserve">Red LOWESS </w:t>
      </w:r>
      <w:r w:rsidR="001E05AE" w:rsidRPr="00721590">
        <w:rPr>
          <w:rFonts w:cstheme="minorHAnsi"/>
          <w:sz w:val="24"/>
          <w:szCs w:val="24"/>
        </w:rPr>
        <w:t xml:space="preserve">(Locally Weighted Scatterplot Smoothing) </w:t>
      </w:r>
      <w:r w:rsidRPr="00721590">
        <w:rPr>
          <w:rFonts w:cstheme="minorHAnsi"/>
          <w:sz w:val="24"/>
          <w:szCs w:val="24"/>
        </w:rPr>
        <w:t>line provided to show general trends in discharge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 xml:space="preserve">Blue dashed line is the average mean daily discharge, variance, </w:t>
      </w:r>
      <w:r w:rsidR="004328DE" w:rsidRPr="00721590">
        <w:rPr>
          <w:rFonts w:cstheme="minorHAnsi"/>
          <w:sz w:val="24"/>
          <w:szCs w:val="24"/>
        </w:rPr>
        <w:t xml:space="preserve">or </w:t>
      </w:r>
      <w:r w:rsidRPr="00721590">
        <w:rPr>
          <w:rFonts w:cstheme="minorHAnsi"/>
          <w:sz w:val="24"/>
          <w:szCs w:val="24"/>
        </w:rPr>
        <w:t>CV from 1941-201</w:t>
      </w:r>
      <w:r w:rsidR="00C11832" w:rsidRPr="00721590">
        <w:rPr>
          <w:rFonts w:cstheme="minorHAnsi"/>
          <w:sz w:val="24"/>
          <w:szCs w:val="24"/>
        </w:rPr>
        <w:t>8</w:t>
      </w:r>
      <w:r w:rsidR="001B76FB" w:rsidRPr="00721590">
        <w:rPr>
          <w:rFonts w:cstheme="minorHAnsi"/>
          <w:sz w:val="24"/>
          <w:szCs w:val="24"/>
        </w:rPr>
        <w:t xml:space="preserve">. </w:t>
      </w:r>
      <w:proofErr w:type="spellStart"/>
      <w:r w:rsidR="00575F7E">
        <w:rPr>
          <w:rFonts w:cstheme="minorHAnsi"/>
          <w:sz w:val="24"/>
          <w:szCs w:val="24"/>
        </w:rPr>
        <w:t>Cf</w:t>
      </w:r>
      <w:proofErr w:type="spellEnd"/>
      <w:r w:rsidR="00575F7E">
        <w:rPr>
          <w:rFonts w:cstheme="minorHAnsi"/>
          <w:sz w:val="24"/>
          <w:szCs w:val="24"/>
        </w:rPr>
        <w:t>/s – cubic feet per second.</w:t>
      </w:r>
    </w:p>
    <w:p w14:paraId="32DFE7CF" w14:textId="77777777" w:rsidR="002241A2" w:rsidRDefault="002241A2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18097B75" w14:textId="2D911BB0" w:rsidR="00EC66C9" w:rsidRDefault="00EC66C9" w:rsidP="009D4EA6">
      <w:pPr>
        <w:spacing w:after="0"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lastRenderedPageBreak/>
        <w:t>Figure</w:t>
      </w:r>
      <w:r w:rsidR="007F7AAF" w:rsidRPr="00721590">
        <w:rPr>
          <w:rFonts w:cstheme="minorHAnsi"/>
          <w:sz w:val="24"/>
          <w:szCs w:val="24"/>
        </w:rPr>
        <w:t xml:space="preserve"> 5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 xml:space="preserve">Mean daily discharge by year </w:t>
      </w:r>
      <w:r w:rsidR="00C11832" w:rsidRPr="00721590">
        <w:rPr>
          <w:rFonts w:cstheme="minorHAnsi"/>
          <w:sz w:val="24"/>
          <w:szCs w:val="24"/>
        </w:rPr>
        <w:t>(</w:t>
      </w:r>
      <w:bookmarkStart w:id="0" w:name="_Hlk17881992"/>
      <w:r w:rsidR="00C11832" w:rsidRPr="00721590">
        <w:rPr>
          <w:rFonts w:cstheme="minorHAnsi"/>
          <w:sz w:val="24"/>
          <w:szCs w:val="24"/>
        </w:rPr>
        <w:t xml:space="preserve">panel </w:t>
      </w:r>
      <w:bookmarkEnd w:id="0"/>
      <w:r w:rsidR="00C11832" w:rsidRPr="00721590">
        <w:rPr>
          <w:rFonts w:cstheme="minorHAnsi"/>
          <w:sz w:val="24"/>
          <w:szCs w:val="24"/>
        </w:rPr>
        <w:t xml:space="preserve">A) </w:t>
      </w:r>
      <w:r w:rsidRPr="00721590">
        <w:rPr>
          <w:rFonts w:cstheme="minorHAnsi"/>
          <w:sz w:val="24"/>
          <w:szCs w:val="24"/>
        </w:rPr>
        <w:t>and associated variance</w:t>
      </w:r>
      <w:r w:rsidR="00C11832" w:rsidRPr="00721590">
        <w:rPr>
          <w:rFonts w:cstheme="minorHAnsi"/>
          <w:sz w:val="24"/>
          <w:szCs w:val="24"/>
        </w:rPr>
        <w:t xml:space="preserve"> (panel B)</w:t>
      </w:r>
      <w:r w:rsidRPr="00721590">
        <w:rPr>
          <w:rFonts w:cstheme="minorHAnsi"/>
          <w:sz w:val="24"/>
          <w:szCs w:val="24"/>
        </w:rPr>
        <w:t xml:space="preserve"> and CV </w:t>
      </w:r>
      <w:r w:rsidR="00C11832" w:rsidRPr="00721590">
        <w:rPr>
          <w:rFonts w:cstheme="minorHAnsi"/>
          <w:sz w:val="24"/>
          <w:szCs w:val="24"/>
        </w:rPr>
        <w:t xml:space="preserve">(panel C) </w:t>
      </w:r>
      <w:r w:rsidRPr="00721590">
        <w:rPr>
          <w:rFonts w:cstheme="minorHAnsi"/>
          <w:sz w:val="24"/>
          <w:szCs w:val="24"/>
        </w:rPr>
        <w:t xml:space="preserve">of daily discharge for the Suwannee River measured at USGS Wilcox gauge from January 2010 to </w:t>
      </w:r>
      <w:r w:rsidR="00C11832" w:rsidRPr="00721590">
        <w:rPr>
          <w:rFonts w:cstheme="minorHAnsi"/>
          <w:sz w:val="24"/>
          <w:szCs w:val="24"/>
        </w:rPr>
        <w:t>December 2018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>Red LOWESS</w:t>
      </w:r>
      <w:r w:rsidR="001E05AE" w:rsidRPr="00721590">
        <w:rPr>
          <w:rFonts w:cstheme="minorHAnsi"/>
          <w:sz w:val="24"/>
          <w:szCs w:val="24"/>
        </w:rPr>
        <w:t xml:space="preserve"> (Locally Weighted Scatterplot Smoothing)</w:t>
      </w:r>
      <w:r w:rsidRPr="00721590">
        <w:rPr>
          <w:rFonts w:cstheme="minorHAnsi"/>
          <w:sz w:val="24"/>
          <w:szCs w:val="24"/>
        </w:rPr>
        <w:t xml:space="preserve"> smoothing line provided to show general trends in discharge</w:t>
      </w:r>
      <w:r w:rsidR="00575F7E">
        <w:rPr>
          <w:rFonts w:cstheme="minorHAnsi"/>
          <w:sz w:val="24"/>
          <w:szCs w:val="24"/>
        </w:rPr>
        <w:t xml:space="preserve"> from January 2010 – December 2018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 xml:space="preserve">Blue dashed line is the average mean daily discharge, variance, </w:t>
      </w:r>
      <w:r w:rsidR="004328DE" w:rsidRPr="00721590">
        <w:rPr>
          <w:rFonts w:cstheme="minorHAnsi"/>
          <w:sz w:val="24"/>
          <w:szCs w:val="24"/>
        </w:rPr>
        <w:t xml:space="preserve">or </w:t>
      </w:r>
      <w:r w:rsidRPr="00721590">
        <w:rPr>
          <w:rFonts w:cstheme="minorHAnsi"/>
          <w:sz w:val="24"/>
          <w:szCs w:val="24"/>
        </w:rPr>
        <w:t>CV from 1941-201</w:t>
      </w:r>
      <w:r w:rsidR="00C11832" w:rsidRPr="00721590">
        <w:rPr>
          <w:rFonts w:cstheme="minorHAnsi"/>
          <w:sz w:val="24"/>
          <w:szCs w:val="24"/>
        </w:rPr>
        <w:t>8</w:t>
      </w:r>
      <w:r w:rsidRPr="00721590">
        <w:rPr>
          <w:rFonts w:cstheme="minorHAnsi"/>
          <w:sz w:val="24"/>
          <w:szCs w:val="24"/>
        </w:rPr>
        <w:t xml:space="preserve">. </w:t>
      </w:r>
      <w:proofErr w:type="spellStart"/>
      <w:r w:rsidR="00575F7E">
        <w:rPr>
          <w:rFonts w:cstheme="minorHAnsi"/>
          <w:sz w:val="24"/>
          <w:szCs w:val="24"/>
        </w:rPr>
        <w:t>Cf</w:t>
      </w:r>
      <w:proofErr w:type="spellEnd"/>
      <w:r w:rsidR="00575F7E">
        <w:rPr>
          <w:rFonts w:cstheme="minorHAnsi"/>
          <w:sz w:val="24"/>
          <w:szCs w:val="24"/>
        </w:rPr>
        <w:t>/s – cubic feet per second.</w:t>
      </w:r>
    </w:p>
    <w:p w14:paraId="51BE28DE" w14:textId="6D29BB29" w:rsidR="005E75ED" w:rsidRPr="00721590" w:rsidRDefault="005E75ED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0EF7ADB3" w14:textId="63253AE9" w:rsidR="00C11832" w:rsidRDefault="00846018" w:rsidP="009D4EA6">
      <w:pPr>
        <w:spacing w:after="0"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 xml:space="preserve">Figure </w:t>
      </w:r>
      <w:r w:rsidR="00C11832" w:rsidRPr="00721590">
        <w:rPr>
          <w:rFonts w:cstheme="minorHAnsi"/>
          <w:sz w:val="24"/>
          <w:szCs w:val="24"/>
        </w:rPr>
        <w:t>6</w:t>
      </w:r>
      <w:r w:rsidRPr="00721590">
        <w:rPr>
          <w:rFonts w:cstheme="minorHAnsi"/>
          <w:sz w:val="24"/>
          <w:szCs w:val="24"/>
        </w:rPr>
        <w:t>. Oyster landings (whole meat weight, panel A), oyster fishing trips (panel B), and oyster catch per trip (CPUE, panel C) for Suwannee Sound, Florida (Levy, Dixie, Taylor counties) from 1986-July 2019</w:t>
      </w:r>
      <w:r w:rsidR="001B76FB" w:rsidRPr="00721590">
        <w:rPr>
          <w:rFonts w:cstheme="minorHAnsi"/>
          <w:sz w:val="24"/>
          <w:szCs w:val="24"/>
        </w:rPr>
        <w:t xml:space="preserve">. </w:t>
      </w:r>
      <w:r w:rsidRPr="00721590">
        <w:rPr>
          <w:rFonts w:cstheme="minorHAnsi"/>
          <w:sz w:val="24"/>
          <w:szCs w:val="24"/>
        </w:rPr>
        <w:t>Data for 2018 and 2019 are provisional</w:t>
      </w:r>
      <w:r w:rsidR="00C11832" w:rsidRPr="00721590">
        <w:rPr>
          <w:rFonts w:cstheme="minorHAnsi"/>
          <w:sz w:val="24"/>
          <w:szCs w:val="24"/>
        </w:rPr>
        <w:t>.</w:t>
      </w:r>
    </w:p>
    <w:p w14:paraId="2651DE81" w14:textId="03680771" w:rsidR="005E75ED" w:rsidRPr="00721590" w:rsidRDefault="005E75ED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698BCDFB" w14:textId="0D854D91" w:rsidR="007B6D50" w:rsidRDefault="0009764E" w:rsidP="002241A2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t xml:space="preserve">Figure </w:t>
      </w:r>
      <w:r w:rsidR="00C11832" w:rsidRPr="00721590">
        <w:rPr>
          <w:rFonts w:cstheme="minorHAnsi"/>
          <w:iCs/>
          <w:sz w:val="24"/>
          <w:szCs w:val="24"/>
        </w:rPr>
        <w:t>7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 xml:space="preserve">Predicted oyster counts using the best-fit negative binomial model </w:t>
      </w:r>
      <w:r w:rsidR="00F93782" w:rsidRPr="00721590">
        <w:rPr>
          <w:rFonts w:cstheme="minorHAnsi"/>
          <w:iCs/>
          <w:sz w:val="24"/>
          <w:szCs w:val="24"/>
        </w:rPr>
        <w:t xml:space="preserve">offset </w:t>
      </w:r>
      <w:r w:rsidRPr="00721590">
        <w:rPr>
          <w:rFonts w:cstheme="minorHAnsi"/>
          <w:iCs/>
          <w:sz w:val="24"/>
          <w:szCs w:val="24"/>
        </w:rPr>
        <w:t>by transect length</w:t>
      </w:r>
      <w:r w:rsidR="00F93782" w:rsidRPr="00721590">
        <w:rPr>
          <w:rFonts w:cstheme="minorHAnsi"/>
          <w:iCs/>
          <w:sz w:val="24"/>
          <w:szCs w:val="24"/>
        </w:rPr>
        <w:t xml:space="preserve"> incl</w:t>
      </w:r>
      <w:r w:rsidR="005F5DB7" w:rsidRPr="00721590">
        <w:rPr>
          <w:rFonts w:cstheme="minorHAnsi"/>
          <w:iCs/>
          <w:sz w:val="24"/>
          <w:szCs w:val="24"/>
        </w:rPr>
        <w:t>uding</w:t>
      </w:r>
      <w:r w:rsidR="000E4036" w:rsidRPr="00721590">
        <w:rPr>
          <w:rFonts w:cstheme="minorHAnsi"/>
          <w:iCs/>
          <w:sz w:val="24"/>
          <w:szCs w:val="24"/>
        </w:rPr>
        <w:t xml:space="preserve"> mean</w:t>
      </w:r>
      <w:r w:rsidR="005F5DB7" w:rsidRPr="00721590">
        <w:rPr>
          <w:rFonts w:cstheme="minorHAnsi"/>
          <w:iCs/>
          <w:sz w:val="24"/>
          <w:szCs w:val="24"/>
        </w:rPr>
        <w:t xml:space="preserve"> </w:t>
      </w:r>
      <w:r w:rsidR="00C11832" w:rsidRPr="00721590">
        <w:rPr>
          <w:rFonts w:cstheme="minorHAnsi"/>
          <w:iCs/>
          <w:sz w:val="24"/>
          <w:szCs w:val="24"/>
        </w:rPr>
        <w:t xml:space="preserve">daily </w:t>
      </w:r>
      <w:r w:rsidR="005F5DB7" w:rsidRPr="00721590">
        <w:rPr>
          <w:rFonts w:cstheme="minorHAnsi"/>
          <w:iCs/>
          <w:sz w:val="24"/>
          <w:szCs w:val="24"/>
        </w:rPr>
        <w:t xml:space="preserve">discharge with a </w:t>
      </w:r>
      <w:r w:rsidR="00C11832" w:rsidRPr="00721590">
        <w:rPr>
          <w:rFonts w:cstheme="minorHAnsi"/>
          <w:iCs/>
          <w:sz w:val="24"/>
          <w:szCs w:val="24"/>
        </w:rPr>
        <w:t>one</w:t>
      </w:r>
      <w:r w:rsidR="005F5DB7" w:rsidRPr="00721590">
        <w:rPr>
          <w:rFonts w:cstheme="minorHAnsi"/>
          <w:iCs/>
          <w:sz w:val="24"/>
          <w:szCs w:val="24"/>
        </w:rPr>
        <w:t>-</w:t>
      </w:r>
      <w:r w:rsidR="00F93782" w:rsidRPr="00721590">
        <w:rPr>
          <w:rFonts w:cstheme="minorHAnsi"/>
          <w:iCs/>
          <w:sz w:val="24"/>
          <w:szCs w:val="24"/>
        </w:rPr>
        <w:t>year lag as a covariate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>Shaded regions represent 95% CI on the predicted values.</w:t>
      </w:r>
      <w:r w:rsidR="00575F7E">
        <w:rPr>
          <w:rFonts w:cstheme="minorHAnsi"/>
          <w:iCs/>
          <w:sz w:val="24"/>
          <w:szCs w:val="24"/>
        </w:rPr>
        <w:t xml:space="preserve"> </w:t>
      </w:r>
      <w:proofErr w:type="spellStart"/>
      <w:r w:rsidR="00575F7E">
        <w:rPr>
          <w:rFonts w:cstheme="minorHAnsi"/>
          <w:iCs/>
          <w:sz w:val="24"/>
          <w:szCs w:val="24"/>
        </w:rPr>
        <w:t>Cf</w:t>
      </w:r>
      <w:proofErr w:type="spellEnd"/>
      <w:r w:rsidR="00575F7E">
        <w:rPr>
          <w:rFonts w:cstheme="minorHAnsi"/>
          <w:iCs/>
          <w:sz w:val="24"/>
          <w:szCs w:val="24"/>
        </w:rPr>
        <w:t>/s – cubic feet per second.</w:t>
      </w:r>
    </w:p>
    <w:p w14:paraId="615060E3" w14:textId="024E11FA" w:rsidR="005E75ED" w:rsidRPr="00721590" w:rsidRDefault="005E75ED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03DC3739" w14:textId="77777777" w:rsidR="005E75ED" w:rsidRDefault="005E75ED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br w:type="page"/>
      </w:r>
    </w:p>
    <w:p w14:paraId="480E9392" w14:textId="77777777" w:rsidR="002241A2" w:rsidRPr="00721590" w:rsidRDefault="002241A2" w:rsidP="002241A2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>Table S1. Period surveyed for each locality and site combination.</w:t>
      </w:r>
      <w:r>
        <w:rPr>
          <w:rFonts w:cstheme="minorHAnsi"/>
          <w:iCs/>
          <w:sz w:val="24"/>
          <w:szCs w:val="24"/>
        </w:rPr>
        <w:t xml:space="preserve"> CK = Cedar Key, CR = Corrigan’s Reef, HB = Horseshoe Beach, and LC = Lone Cabbage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582"/>
        <w:gridCol w:w="851"/>
        <w:gridCol w:w="2102"/>
      </w:tblGrid>
      <w:tr w:rsidR="002241A2" w:rsidRPr="00721590" w14:paraId="46F54A3D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2402A3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Locality</w:t>
            </w:r>
          </w:p>
        </w:tc>
        <w:tc>
          <w:tcPr>
            <w:tcW w:w="582" w:type="dxa"/>
            <w:noWrap/>
            <w:hideMark/>
          </w:tcPr>
          <w:p w14:paraId="229F980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Site</w:t>
            </w:r>
          </w:p>
        </w:tc>
        <w:tc>
          <w:tcPr>
            <w:tcW w:w="851" w:type="dxa"/>
            <w:noWrap/>
            <w:hideMark/>
          </w:tcPr>
          <w:p w14:paraId="5F992D7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Period</w:t>
            </w:r>
          </w:p>
        </w:tc>
        <w:tc>
          <w:tcPr>
            <w:tcW w:w="2102" w:type="dxa"/>
            <w:noWrap/>
            <w:hideMark/>
          </w:tcPr>
          <w:p w14:paraId="1272536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Time</w:t>
            </w:r>
          </w:p>
        </w:tc>
      </w:tr>
      <w:tr w:rsidR="002241A2" w:rsidRPr="00721590" w14:paraId="5954CD3B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B2DE11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3A224FB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5159A13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768B4EA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67A75E8B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55240C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5F8AEA4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6F4B830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3EEEBBC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516C277A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1AE2E7B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0DE1376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1417E41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7395B5C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57C98068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D33618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7731CC6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4C7AE95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2255FCA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6B1C5B29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850006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602C5B7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20BDBB3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29C44F2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646D483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9E21A3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3215C18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07ADF4F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379B85E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7ED6D87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F78102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4C10FF3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431BA04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15E149B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2FC8D043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133B09E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5AF881A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0A935C4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524803D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62352F20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5EA5CC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CK</w:t>
            </w:r>
          </w:p>
        </w:tc>
        <w:tc>
          <w:tcPr>
            <w:tcW w:w="582" w:type="dxa"/>
            <w:noWrap/>
            <w:hideMark/>
          </w:tcPr>
          <w:p w14:paraId="4AF702B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0130AD1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436DB13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274DF94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D5DCC3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02715CC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5200707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75E6837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76E0AB16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56096E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158AA0D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02485E0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2D4CD05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205F483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4105EE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2315C41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1511AAF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61D76C3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4F6E82BF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261E50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009B49B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60675F4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78BEEBF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7D06EF90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5D9ABF8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14B1F48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09FEED7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13E96CF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4577E65E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E21565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2FFAC26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42004E4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20C8768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00AC22D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3CD8F5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2002069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08C3382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444E089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5028A8C7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6C2068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3C8109C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3D6157C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5A7185D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0230DBDA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2DFB70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1B7E68F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5B8E374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79EC882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53724AFD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76EE1F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63E0455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2DD0B4F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3ABBD8A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39A646E4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2B3B61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235D2C3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48769CC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0969C48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42AC6324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AFA615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3275D9A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E2C476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33BBB21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1C279B56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A6431C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20D7312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7A85A16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738DA60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50375C8D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67EF3A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3F563D7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A80B20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6639BDE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3F5D99B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6E65CF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CR</w:t>
            </w:r>
          </w:p>
        </w:tc>
        <w:tc>
          <w:tcPr>
            <w:tcW w:w="582" w:type="dxa"/>
            <w:noWrap/>
            <w:hideMark/>
          </w:tcPr>
          <w:p w14:paraId="7E8893F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58A0714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1E26537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30BBC063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4DE908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695BEB8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06677B6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4AF4E9D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424EF941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DD0634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2E7DF91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31CA57E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3A9A08C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7141B8B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ABD195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7381F99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5C501D2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087AFCD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579487A8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1590A3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4FE8EA6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3575E4F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06DC96D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7E0C62A0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8251D0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42D7B66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687DD9B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3F175B0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57A72652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C3085B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2C86A56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44845E2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251CA9B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6C17E0F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276000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43EB665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38C18C4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742FE2A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79E4D507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B1F112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21E26E9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06B8A9B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755285D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43386DD1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5ACD649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149959E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5A1B240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5E42C97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0CA8C6BD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6D9C79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4BCB9FF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5DC4769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55071B2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31542272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1DCFCE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55DF054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7D9788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1CF3000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4E2BC563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3BA417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1B6E21B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B11094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079DDCC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1BFA872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04053E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HB</w:t>
            </w:r>
          </w:p>
        </w:tc>
        <w:tc>
          <w:tcPr>
            <w:tcW w:w="582" w:type="dxa"/>
            <w:noWrap/>
            <w:hideMark/>
          </w:tcPr>
          <w:p w14:paraId="3EDFEF8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2FF4FEB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64DD61B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3CD31426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51F4BD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lastRenderedPageBreak/>
              <w:t>HB</w:t>
            </w:r>
          </w:p>
        </w:tc>
        <w:tc>
          <w:tcPr>
            <w:tcW w:w="582" w:type="dxa"/>
            <w:noWrap/>
            <w:hideMark/>
          </w:tcPr>
          <w:p w14:paraId="4CAE4AA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5573D68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57FA6A7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06F4B8C9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8B8C32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3322B43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556852A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1E38DFF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08A720A2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561B76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40C5059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617352E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20416AB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238BB84E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E9BA4E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0411A7F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34650F6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240D0BD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08690E99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22A5E9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6E7B303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06F6007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267C44D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47A865F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161C30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5E84776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1AE6892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16</w:t>
            </w:r>
          </w:p>
        </w:tc>
        <w:tc>
          <w:tcPr>
            <w:tcW w:w="2102" w:type="dxa"/>
            <w:noWrap/>
            <w:hideMark/>
          </w:tcPr>
          <w:p w14:paraId="1928A75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2017-2018</w:t>
            </w:r>
          </w:p>
        </w:tc>
      </w:tr>
      <w:tr w:rsidR="002241A2" w:rsidRPr="00721590" w14:paraId="08CA6B12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25D42E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6EDD316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I</w:t>
            </w:r>
          </w:p>
        </w:tc>
        <w:tc>
          <w:tcPr>
            <w:tcW w:w="851" w:type="dxa"/>
            <w:noWrap/>
            <w:hideMark/>
          </w:tcPr>
          <w:p w14:paraId="36BDE655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2E3A2C8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215C2E48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587A3DF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64A8484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26E9CF4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72C2419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74E435C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6868389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014F56F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5BC8FDD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48BF7B2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007928F0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1EFC60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168C869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2814CB9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40D32D2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0E5A3A1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3242FE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5E4E1A3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755093D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2F453DA2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2947CD55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3673F7E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19F90C9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0264C9E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16</w:t>
            </w:r>
          </w:p>
        </w:tc>
        <w:tc>
          <w:tcPr>
            <w:tcW w:w="2102" w:type="dxa"/>
            <w:noWrap/>
            <w:hideMark/>
          </w:tcPr>
          <w:p w14:paraId="6FA1B27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2017-2018</w:t>
            </w:r>
          </w:p>
        </w:tc>
      </w:tr>
      <w:tr w:rsidR="002241A2" w:rsidRPr="00721590" w14:paraId="5B8153CE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429D017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1C4EB01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851" w:type="dxa"/>
            <w:noWrap/>
            <w:hideMark/>
          </w:tcPr>
          <w:p w14:paraId="11C6251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17</w:t>
            </w:r>
          </w:p>
        </w:tc>
        <w:tc>
          <w:tcPr>
            <w:tcW w:w="2102" w:type="dxa"/>
            <w:noWrap/>
            <w:hideMark/>
          </w:tcPr>
          <w:p w14:paraId="798AC3A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2018</w:t>
            </w:r>
          </w:p>
        </w:tc>
      </w:tr>
      <w:tr w:rsidR="002241A2" w:rsidRPr="00721590" w14:paraId="4E8B568F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B78FA34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3B2353B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5550520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  <w:noWrap/>
            <w:hideMark/>
          </w:tcPr>
          <w:p w14:paraId="0566A9C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2010</w:t>
            </w:r>
          </w:p>
        </w:tc>
      </w:tr>
      <w:tr w:rsidR="002241A2" w:rsidRPr="00721590" w14:paraId="06120486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5284990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43F026D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F0E086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  <w:noWrap/>
            <w:hideMark/>
          </w:tcPr>
          <w:p w14:paraId="08642CA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2010-2011</w:t>
            </w:r>
          </w:p>
        </w:tc>
      </w:tr>
      <w:tr w:rsidR="002241A2" w:rsidRPr="00721590" w14:paraId="6FC68B49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C4433D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5F858A8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2121667E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  <w:noWrap/>
            <w:hideMark/>
          </w:tcPr>
          <w:p w14:paraId="1965C1B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2011</w:t>
            </w:r>
          </w:p>
        </w:tc>
      </w:tr>
      <w:tr w:rsidR="002241A2" w:rsidRPr="00721590" w14:paraId="39A1785C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2EDA53A0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08C6EE6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52B3BD2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  <w:noWrap/>
            <w:hideMark/>
          </w:tcPr>
          <w:p w14:paraId="546B762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2012-2013</w:t>
            </w:r>
          </w:p>
        </w:tc>
      </w:tr>
      <w:tr w:rsidR="002241A2" w:rsidRPr="00721590" w14:paraId="0649AC08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2933D5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65A5C763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23DF206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7</w:t>
            </w:r>
          </w:p>
        </w:tc>
        <w:tc>
          <w:tcPr>
            <w:tcW w:w="2102" w:type="dxa"/>
            <w:noWrap/>
            <w:hideMark/>
          </w:tcPr>
          <w:p w14:paraId="41EB9897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2013</w:t>
            </w:r>
          </w:p>
        </w:tc>
      </w:tr>
      <w:tr w:rsidR="002241A2" w:rsidRPr="00721590" w14:paraId="4A3FD91F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535953D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24F2745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0466E70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10</w:t>
            </w:r>
          </w:p>
        </w:tc>
        <w:tc>
          <w:tcPr>
            <w:tcW w:w="2102" w:type="dxa"/>
            <w:noWrap/>
            <w:hideMark/>
          </w:tcPr>
          <w:p w14:paraId="7AB9F02D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2014-2015</w:t>
            </w:r>
          </w:p>
        </w:tc>
      </w:tr>
      <w:tr w:rsidR="002241A2" w:rsidRPr="00721590" w14:paraId="22F371AB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0E794DF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5EB085B8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3506DC41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11</w:t>
            </w:r>
          </w:p>
        </w:tc>
        <w:tc>
          <w:tcPr>
            <w:tcW w:w="2102" w:type="dxa"/>
            <w:noWrap/>
            <w:hideMark/>
          </w:tcPr>
          <w:p w14:paraId="633C7F7B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Summer 2015</w:t>
            </w:r>
          </w:p>
        </w:tc>
      </w:tr>
      <w:tr w:rsidR="002241A2" w:rsidRPr="00721590" w14:paraId="35C8C047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05C7AB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26DDD21F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26D2B5EC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14</w:t>
            </w:r>
          </w:p>
        </w:tc>
        <w:tc>
          <w:tcPr>
            <w:tcW w:w="2102" w:type="dxa"/>
            <w:noWrap/>
            <w:hideMark/>
          </w:tcPr>
          <w:p w14:paraId="7C99DD39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2016-2017</w:t>
            </w:r>
          </w:p>
        </w:tc>
      </w:tr>
      <w:tr w:rsidR="002241A2" w:rsidRPr="00EA52BE" w14:paraId="433D9DBE" w14:textId="77777777" w:rsidTr="007C747B">
        <w:trPr>
          <w:trHeight w:val="288"/>
        </w:trPr>
        <w:tc>
          <w:tcPr>
            <w:tcW w:w="960" w:type="dxa"/>
            <w:noWrap/>
            <w:hideMark/>
          </w:tcPr>
          <w:p w14:paraId="7185454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LC</w:t>
            </w:r>
          </w:p>
        </w:tc>
        <w:tc>
          <w:tcPr>
            <w:tcW w:w="582" w:type="dxa"/>
            <w:noWrap/>
            <w:hideMark/>
          </w:tcPr>
          <w:p w14:paraId="20BF7456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O</w:t>
            </w:r>
          </w:p>
        </w:tc>
        <w:tc>
          <w:tcPr>
            <w:tcW w:w="851" w:type="dxa"/>
            <w:noWrap/>
            <w:hideMark/>
          </w:tcPr>
          <w:p w14:paraId="6BDEBBEA" w14:textId="77777777" w:rsidR="002241A2" w:rsidRPr="00721590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16</w:t>
            </w:r>
          </w:p>
        </w:tc>
        <w:tc>
          <w:tcPr>
            <w:tcW w:w="2102" w:type="dxa"/>
            <w:noWrap/>
            <w:hideMark/>
          </w:tcPr>
          <w:p w14:paraId="5ADBF472" w14:textId="77777777" w:rsidR="002241A2" w:rsidRPr="00EA52BE" w:rsidRDefault="002241A2" w:rsidP="007C747B">
            <w:pPr>
              <w:rPr>
                <w:rFonts w:cstheme="minorHAnsi"/>
                <w:iCs/>
                <w:sz w:val="24"/>
                <w:szCs w:val="24"/>
              </w:rPr>
            </w:pPr>
            <w:r w:rsidRPr="00721590">
              <w:rPr>
                <w:rFonts w:cstheme="minorHAnsi"/>
                <w:iCs/>
                <w:sz w:val="24"/>
                <w:szCs w:val="24"/>
              </w:rPr>
              <w:t>Winter 2017-2018</w:t>
            </w:r>
          </w:p>
        </w:tc>
      </w:tr>
    </w:tbl>
    <w:p w14:paraId="2DD9642E" w14:textId="77777777" w:rsidR="002241A2" w:rsidRPr="006D5CAD" w:rsidRDefault="002241A2" w:rsidP="002241A2">
      <w:pPr>
        <w:spacing w:line="240" w:lineRule="auto"/>
        <w:rPr>
          <w:rFonts w:cstheme="minorHAnsi"/>
          <w:iCs/>
          <w:sz w:val="24"/>
          <w:szCs w:val="24"/>
        </w:rPr>
      </w:pPr>
    </w:p>
    <w:p w14:paraId="7AB53169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0E6635FC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2676CFD4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26CEB756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27908C94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5F78EE9C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2943A098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6D0BD204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3AC3BA84" w14:textId="77777777" w:rsidR="002241A2" w:rsidRDefault="002241A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6BE7E323" w14:textId="7FB76C53" w:rsidR="00D65272" w:rsidRDefault="00DA21D1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lastRenderedPageBreak/>
        <w:t xml:space="preserve">Figure </w:t>
      </w:r>
      <w:r w:rsidR="008B7BD1" w:rsidRPr="00721590">
        <w:rPr>
          <w:rFonts w:cstheme="minorHAnsi"/>
          <w:iCs/>
          <w:sz w:val="24"/>
          <w:szCs w:val="24"/>
        </w:rPr>
        <w:t>S1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8B7BD1" w:rsidRPr="00721590">
        <w:rPr>
          <w:rFonts w:cstheme="minorHAnsi"/>
          <w:iCs/>
          <w:sz w:val="24"/>
          <w:szCs w:val="24"/>
        </w:rPr>
        <w:t xml:space="preserve">Predicted oyster counts using the best-fit negative binomial model offset by transect length (oyster counts = period * </w:t>
      </w:r>
      <w:r w:rsidR="00AD79B7" w:rsidRPr="00721590">
        <w:rPr>
          <w:rFonts w:cstheme="minorHAnsi"/>
          <w:iCs/>
          <w:sz w:val="24"/>
          <w:szCs w:val="24"/>
        </w:rPr>
        <w:t xml:space="preserve">locality </w:t>
      </w:r>
      <w:r w:rsidR="008B7BD1" w:rsidRPr="00721590">
        <w:rPr>
          <w:rFonts w:cstheme="minorHAnsi"/>
          <w:iCs/>
          <w:sz w:val="24"/>
          <w:szCs w:val="24"/>
        </w:rPr>
        <w:t xml:space="preserve">+ </w:t>
      </w:r>
      <w:r w:rsidR="00AD79B7" w:rsidRPr="00721590">
        <w:rPr>
          <w:rFonts w:cstheme="minorHAnsi"/>
          <w:iCs/>
          <w:sz w:val="24"/>
          <w:szCs w:val="24"/>
        </w:rPr>
        <w:t xml:space="preserve">site </w:t>
      </w:r>
      <w:r w:rsidR="008B7BD1" w:rsidRPr="00721590">
        <w:rPr>
          <w:rFonts w:cstheme="minorHAnsi"/>
          <w:iCs/>
          <w:sz w:val="24"/>
          <w:szCs w:val="24"/>
        </w:rPr>
        <w:t>+ offset(log(transect length))) fit to 1000 simulated data sets</w:t>
      </w:r>
      <w:r w:rsidR="002132F9" w:rsidRPr="00721590">
        <w:rPr>
          <w:rFonts w:cstheme="minorHAnsi"/>
          <w:iCs/>
          <w:sz w:val="24"/>
          <w:szCs w:val="24"/>
        </w:rPr>
        <w:t xml:space="preserve"> (black lines)</w:t>
      </w:r>
      <w:r w:rsidR="008B7BD1" w:rsidRPr="00721590">
        <w:rPr>
          <w:rFonts w:cstheme="minorHAnsi"/>
          <w:iCs/>
          <w:sz w:val="24"/>
          <w:szCs w:val="24"/>
        </w:rPr>
        <w:t xml:space="preserve"> for all localities combined based on data from 2010-201</w:t>
      </w:r>
      <w:r w:rsidR="00575F7E">
        <w:rPr>
          <w:rFonts w:cstheme="minorHAnsi"/>
          <w:iCs/>
          <w:sz w:val="24"/>
          <w:szCs w:val="24"/>
        </w:rPr>
        <w:t>8</w:t>
      </w:r>
      <w:r w:rsidR="008B7BD1" w:rsidRPr="00721590">
        <w:rPr>
          <w:rFonts w:cstheme="minorHAnsi"/>
          <w:iCs/>
          <w:sz w:val="24"/>
          <w:szCs w:val="24"/>
        </w:rPr>
        <w:t>.</w:t>
      </w:r>
      <w:r w:rsidR="002132F9" w:rsidRPr="00721590">
        <w:rPr>
          <w:rFonts w:cstheme="minorHAnsi"/>
          <w:iCs/>
          <w:sz w:val="24"/>
          <w:szCs w:val="24"/>
        </w:rPr>
        <w:t xml:space="preserve">  Solid blue line </w:t>
      </w:r>
      <w:r w:rsidR="00C11832" w:rsidRPr="00721590">
        <w:rPr>
          <w:rFonts w:cstheme="minorHAnsi"/>
          <w:iCs/>
          <w:sz w:val="24"/>
          <w:szCs w:val="24"/>
        </w:rPr>
        <w:t>is</w:t>
      </w:r>
      <w:r w:rsidR="002132F9" w:rsidRPr="00721590">
        <w:rPr>
          <w:rFonts w:cstheme="minorHAnsi"/>
          <w:iCs/>
          <w:sz w:val="24"/>
          <w:szCs w:val="24"/>
        </w:rPr>
        <w:t xml:space="preserve"> predicted values fit to observed (actual) field data.</w:t>
      </w:r>
    </w:p>
    <w:p w14:paraId="5D60E019" w14:textId="79FE0153" w:rsidR="005E75ED" w:rsidRPr="00721590" w:rsidRDefault="005E75E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783A0EF3" w14:textId="6041BD99" w:rsidR="00541EFD" w:rsidRDefault="008C1A52" w:rsidP="002241A2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t xml:space="preserve">Figure </w:t>
      </w:r>
      <w:r w:rsidR="008B7BD1" w:rsidRPr="00721590">
        <w:rPr>
          <w:rFonts w:cstheme="minorHAnsi"/>
          <w:iCs/>
          <w:sz w:val="24"/>
          <w:szCs w:val="24"/>
        </w:rPr>
        <w:t>S2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5D6337" w:rsidRPr="00721590">
        <w:rPr>
          <w:rFonts w:cstheme="minorHAnsi"/>
          <w:iCs/>
          <w:sz w:val="24"/>
          <w:szCs w:val="24"/>
        </w:rPr>
        <w:t>Kernel density plot</w:t>
      </w:r>
      <w:r w:rsidRPr="00721590">
        <w:rPr>
          <w:rFonts w:cstheme="minorHAnsi"/>
          <w:iCs/>
          <w:sz w:val="24"/>
          <w:szCs w:val="24"/>
        </w:rPr>
        <w:t xml:space="preserve"> (y-axis) and p-value (x-axis) for </w:t>
      </w:r>
      <w:r w:rsidR="005D6337" w:rsidRPr="00721590">
        <w:rPr>
          <w:rFonts w:cstheme="minorHAnsi"/>
          <w:iCs/>
          <w:sz w:val="24"/>
          <w:szCs w:val="24"/>
        </w:rPr>
        <w:t xml:space="preserve">the “period” beta term fit to the model oyster counts = period * </w:t>
      </w:r>
      <w:r w:rsidR="00AD79B7" w:rsidRPr="00721590">
        <w:rPr>
          <w:rFonts w:cstheme="minorHAnsi"/>
          <w:iCs/>
          <w:sz w:val="24"/>
          <w:szCs w:val="24"/>
        </w:rPr>
        <w:t>locality</w:t>
      </w:r>
      <w:r w:rsidR="005D6337" w:rsidRPr="00721590">
        <w:rPr>
          <w:rFonts w:cstheme="minorHAnsi"/>
          <w:iCs/>
          <w:sz w:val="24"/>
          <w:szCs w:val="24"/>
        </w:rPr>
        <w:t xml:space="preserve"> + </w:t>
      </w:r>
      <w:r w:rsidR="00AD79B7" w:rsidRPr="00721590">
        <w:rPr>
          <w:rFonts w:cstheme="minorHAnsi"/>
          <w:iCs/>
          <w:sz w:val="24"/>
          <w:szCs w:val="24"/>
        </w:rPr>
        <w:t>site</w:t>
      </w:r>
      <w:r w:rsidR="005D6337" w:rsidRPr="00721590">
        <w:rPr>
          <w:rFonts w:cstheme="minorHAnsi"/>
          <w:iCs/>
          <w:sz w:val="24"/>
          <w:szCs w:val="24"/>
        </w:rPr>
        <w:t xml:space="preserve"> + offset(log(transect length)) from </w:t>
      </w:r>
      <w:r w:rsidR="008B7BD1" w:rsidRPr="00721590">
        <w:rPr>
          <w:rFonts w:cstheme="minorHAnsi"/>
          <w:iCs/>
          <w:sz w:val="24"/>
          <w:szCs w:val="24"/>
        </w:rPr>
        <w:t>10</w:t>
      </w:r>
      <w:r w:rsidR="005D6337" w:rsidRPr="00721590">
        <w:rPr>
          <w:rFonts w:cstheme="minorHAnsi"/>
          <w:iCs/>
          <w:sz w:val="24"/>
          <w:szCs w:val="24"/>
        </w:rPr>
        <w:t>00 simulated datasets.</w:t>
      </w:r>
    </w:p>
    <w:p w14:paraId="325A26BF" w14:textId="59B36A2C" w:rsidR="005E75ED" w:rsidRDefault="005E75ED" w:rsidP="002241A2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4C473023" w14:textId="1EE138AA" w:rsidR="005E75ED" w:rsidRPr="00721590" w:rsidRDefault="00DA21D1" w:rsidP="002241A2">
      <w:pPr>
        <w:spacing w:line="480" w:lineRule="auto"/>
        <w:rPr>
          <w:rFonts w:cstheme="minorHAnsi"/>
          <w:iCs/>
          <w:sz w:val="24"/>
          <w:szCs w:val="24"/>
        </w:rPr>
      </w:pPr>
      <w:r w:rsidRPr="00721590">
        <w:rPr>
          <w:rFonts w:cstheme="minorHAnsi"/>
          <w:iCs/>
          <w:sz w:val="24"/>
          <w:szCs w:val="24"/>
        </w:rPr>
        <w:t xml:space="preserve">Figure </w:t>
      </w:r>
      <w:r w:rsidR="008B7BD1" w:rsidRPr="00721590">
        <w:rPr>
          <w:rFonts w:cstheme="minorHAnsi"/>
          <w:iCs/>
          <w:sz w:val="24"/>
          <w:szCs w:val="24"/>
        </w:rPr>
        <w:t>S3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Pr="00721590">
        <w:rPr>
          <w:rFonts w:cstheme="minorHAnsi"/>
          <w:iCs/>
          <w:sz w:val="24"/>
          <w:szCs w:val="24"/>
        </w:rPr>
        <w:t xml:space="preserve">Panel A: </w:t>
      </w:r>
      <w:r w:rsidR="003B7F76" w:rsidRPr="00721590">
        <w:rPr>
          <w:rFonts w:cstheme="minorHAnsi"/>
          <w:iCs/>
          <w:sz w:val="24"/>
          <w:szCs w:val="24"/>
        </w:rPr>
        <w:t xml:space="preserve">Monthly </w:t>
      </w:r>
      <w:r w:rsidRPr="00721590">
        <w:rPr>
          <w:rFonts w:cstheme="minorHAnsi"/>
          <w:iCs/>
          <w:sz w:val="24"/>
          <w:szCs w:val="24"/>
        </w:rPr>
        <w:t>Palmer drought severity index (</w:t>
      </w:r>
      <w:r w:rsidR="00575F7E">
        <w:rPr>
          <w:rFonts w:cstheme="minorHAnsi"/>
          <w:iCs/>
          <w:sz w:val="24"/>
          <w:szCs w:val="24"/>
        </w:rPr>
        <w:t xml:space="preserve">PDSI, </w:t>
      </w:r>
      <w:r w:rsidRPr="00721590">
        <w:rPr>
          <w:rFonts w:cstheme="minorHAnsi"/>
          <w:iCs/>
          <w:sz w:val="24"/>
          <w:szCs w:val="24"/>
        </w:rPr>
        <w:t>y-axis) for north Florida (red line) and southeast Georgia (black line) by year (x-axis)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3B7F76" w:rsidRPr="00721590">
        <w:rPr>
          <w:rFonts w:cstheme="minorHAnsi"/>
          <w:iCs/>
          <w:sz w:val="24"/>
          <w:szCs w:val="24"/>
        </w:rPr>
        <w:t xml:space="preserve">Negative values indicate periods of drought and positive values periods of higher soil moisture. Data from </w:t>
      </w:r>
      <w:r w:rsidR="002002EC" w:rsidRPr="00721590">
        <w:rPr>
          <w:rFonts w:cstheme="minorHAnsi"/>
          <w:iCs/>
          <w:sz w:val="24"/>
          <w:szCs w:val="24"/>
        </w:rPr>
        <w:t>NOAA 2019</w:t>
      </w:r>
      <w:r w:rsidR="006F3F1B" w:rsidRPr="00721590">
        <w:rPr>
          <w:rFonts w:cstheme="minorHAnsi"/>
          <w:iCs/>
          <w:sz w:val="24"/>
          <w:szCs w:val="24"/>
        </w:rPr>
        <w:t>c</w:t>
      </w:r>
      <w:r w:rsidR="003B7F76" w:rsidRPr="00721590">
        <w:rPr>
          <w:rFonts w:cstheme="minorHAnsi"/>
          <w:iCs/>
          <w:sz w:val="24"/>
          <w:szCs w:val="24"/>
        </w:rPr>
        <w:t xml:space="preserve">. </w:t>
      </w:r>
      <w:r w:rsidR="00387BC2" w:rsidRPr="00721590">
        <w:rPr>
          <w:rFonts w:cstheme="minorHAnsi"/>
          <w:iCs/>
          <w:sz w:val="24"/>
          <w:szCs w:val="24"/>
        </w:rPr>
        <w:t xml:space="preserve">Panel </w:t>
      </w:r>
      <w:r w:rsidR="005B0640" w:rsidRPr="00721590">
        <w:rPr>
          <w:rFonts w:cstheme="minorHAnsi"/>
          <w:iCs/>
          <w:sz w:val="24"/>
          <w:szCs w:val="24"/>
        </w:rPr>
        <w:t>B</w:t>
      </w:r>
      <w:r w:rsidR="00387BC2" w:rsidRPr="00721590">
        <w:rPr>
          <w:rFonts w:cstheme="minorHAnsi"/>
          <w:iCs/>
          <w:sz w:val="24"/>
          <w:szCs w:val="24"/>
        </w:rPr>
        <w:t>:  Monthly mean sea level (y-axis, solid black line) over year (x-axis) from NOAA station 8727520, Cedar Key, Florida</w:t>
      </w:r>
      <w:r w:rsidR="003B7F76" w:rsidRPr="00721590">
        <w:rPr>
          <w:rFonts w:cstheme="minorHAnsi"/>
          <w:iCs/>
          <w:sz w:val="24"/>
          <w:szCs w:val="24"/>
        </w:rPr>
        <w:t xml:space="preserve"> with a linear model (dotted black line) plotted for reference</w:t>
      </w:r>
      <w:r w:rsidR="001B76FB" w:rsidRPr="00721590">
        <w:rPr>
          <w:rFonts w:cstheme="minorHAnsi"/>
          <w:iCs/>
          <w:sz w:val="24"/>
          <w:szCs w:val="24"/>
        </w:rPr>
        <w:t xml:space="preserve">. </w:t>
      </w:r>
      <w:r w:rsidR="00387BC2" w:rsidRPr="00721590">
        <w:rPr>
          <w:rFonts w:cstheme="minorHAnsi"/>
          <w:iCs/>
          <w:sz w:val="24"/>
          <w:szCs w:val="24"/>
        </w:rPr>
        <w:t>Average seasonal cycle removed</w:t>
      </w:r>
      <w:r w:rsidR="008B7BD1" w:rsidRPr="00721590">
        <w:rPr>
          <w:rFonts w:cstheme="minorHAnsi"/>
          <w:iCs/>
          <w:sz w:val="24"/>
          <w:szCs w:val="24"/>
        </w:rPr>
        <w:t xml:space="preserve"> by NOAA</w:t>
      </w:r>
      <w:r w:rsidR="002002EC" w:rsidRPr="00721590">
        <w:rPr>
          <w:rFonts w:cstheme="minorHAnsi"/>
          <w:iCs/>
          <w:sz w:val="24"/>
          <w:szCs w:val="24"/>
        </w:rPr>
        <w:t xml:space="preserve"> (NOAA 2019b)</w:t>
      </w:r>
      <w:r w:rsidR="00EA52BE" w:rsidRPr="00721590">
        <w:rPr>
          <w:rFonts w:cstheme="minorHAnsi"/>
          <w:iCs/>
          <w:sz w:val="24"/>
          <w:szCs w:val="24"/>
        </w:rPr>
        <w:t>.</w:t>
      </w:r>
      <w:bookmarkStart w:id="1" w:name="_GoBack"/>
      <w:bookmarkEnd w:id="1"/>
    </w:p>
    <w:sectPr w:rsidR="005E75ED" w:rsidRPr="00721590" w:rsidSect="003F4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CE0DE" w14:textId="77777777" w:rsidR="008832B1" w:rsidRDefault="008832B1" w:rsidP="003F4DD7">
      <w:pPr>
        <w:spacing w:after="0" w:line="240" w:lineRule="auto"/>
      </w:pPr>
      <w:r>
        <w:separator/>
      </w:r>
    </w:p>
  </w:endnote>
  <w:endnote w:type="continuationSeparator" w:id="0">
    <w:p w14:paraId="2670E004" w14:textId="77777777" w:rsidR="008832B1" w:rsidRDefault="008832B1" w:rsidP="003F4DD7">
      <w:pPr>
        <w:spacing w:after="0" w:line="240" w:lineRule="auto"/>
      </w:pPr>
      <w:r>
        <w:continuationSeparator/>
      </w:r>
    </w:p>
  </w:endnote>
  <w:endnote w:type="continuationNotice" w:id="1">
    <w:p w14:paraId="108007C5" w14:textId="77777777" w:rsidR="008832B1" w:rsidRDefault="00883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46A190FC" w:rsidR="00F7503B" w:rsidRDefault="00F75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4206EE40" w14:textId="77777777" w:rsidR="00F7503B" w:rsidRDefault="00F7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F7386" w14:textId="77777777" w:rsidR="008832B1" w:rsidRDefault="008832B1" w:rsidP="003F4DD7">
      <w:pPr>
        <w:spacing w:after="0" w:line="240" w:lineRule="auto"/>
      </w:pPr>
      <w:r>
        <w:separator/>
      </w:r>
    </w:p>
  </w:footnote>
  <w:footnote w:type="continuationSeparator" w:id="0">
    <w:p w14:paraId="277FA236" w14:textId="77777777" w:rsidR="008832B1" w:rsidRDefault="008832B1" w:rsidP="003F4DD7">
      <w:pPr>
        <w:spacing w:after="0" w:line="240" w:lineRule="auto"/>
      </w:pPr>
      <w:r>
        <w:continuationSeparator/>
      </w:r>
    </w:p>
  </w:footnote>
  <w:footnote w:type="continuationNotice" w:id="1">
    <w:p w14:paraId="25FD3F75" w14:textId="77777777" w:rsidR="008832B1" w:rsidRDefault="008832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F7503B" w:rsidRDefault="00F75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31F5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8162A"/>
    <w:rsid w:val="00085B68"/>
    <w:rsid w:val="0009084C"/>
    <w:rsid w:val="000935CD"/>
    <w:rsid w:val="00095402"/>
    <w:rsid w:val="0009566B"/>
    <w:rsid w:val="0009764E"/>
    <w:rsid w:val="00097FDD"/>
    <w:rsid w:val="000A2514"/>
    <w:rsid w:val="000B07AC"/>
    <w:rsid w:val="000B3CD0"/>
    <w:rsid w:val="000B5746"/>
    <w:rsid w:val="000B75AB"/>
    <w:rsid w:val="000C6E00"/>
    <w:rsid w:val="000D6971"/>
    <w:rsid w:val="000E4036"/>
    <w:rsid w:val="000F6DCE"/>
    <w:rsid w:val="001024A1"/>
    <w:rsid w:val="001159D0"/>
    <w:rsid w:val="00117113"/>
    <w:rsid w:val="00117C76"/>
    <w:rsid w:val="00127B35"/>
    <w:rsid w:val="001348DC"/>
    <w:rsid w:val="00143F3D"/>
    <w:rsid w:val="00144390"/>
    <w:rsid w:val="00161898"/>
    <w:rsid w:val="001619BC"/>
    <w:rsid w:val="0017436D"/>
    <w:rsid w:val="0017714F"/>
    <w:rsid w:val="00192088"/>
    <w:rsid w:val="001920BE"/>
    <w:rsid w:val="00193FB5"/>
    <w:rsid w:val="00195C83"/>
    <w:rsid w:val="00197B73"/>
    <w:rsid w:val="001A11F2"/>
    <w:rsid w:val="001A3301"/>
    <w:rsid w:val="001A3AC0"/>
    <w:rsid w:val="001A5492"/>
    <w:rsid w:val="001B2BEE"/>
    <w:rsid w:val="001B76FB"/>
    <w:rsid w:val="001C0778"/>
    <w:rsid w:val="001C2D0E"/>
    <w:rsid w:val="001C40C3"/>
    <w:rsid w:val="001D02E0"/>
    <w:rsid w:val="001D569E"/>
    <w:rsid w:val="001D5B65"/>
    <w:rsid w:val="001E0081"/>
    <w:rsid w:val="001E05AE"/>
    <w:rsid w:val="001E0CCD"/>
    <w:rsid w:val="001E1027"/>
    <w:rsid w:val="001E1680"/>
    <w:rsid w:val="001E18B1"/>
    <w:rsid w:val="001E1F07"/>
    <w:rsid w:val="001E2BD8"/>
    <w:rsid w:val="001E32FA"/>
    <w:rsid w:val="001F69FC"/>
    <w:rsid w:val="002002EC"/>
    <w:rsid w:val="00201D5C"/>
    <w:rsid w:val="002132F9"/>
    <w:rsid w:val="00217A29"/>
    <w:rsid w:val="002241A2"/>
    <w:rsid w:val="002252C9"/>
    <w:rsid w:val="002344FA"/>
    <w:rsid w:val="002426B5"/>
    <w:rsid w:val="0025230B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013F0"/>
    <w:rsid w:val="00311FF1"/>
    <w:rsid w:val="0031319F"/>
    <w:rsid w:val="00315AD1"/>
    <w:rsid w:val="003266BF"/>
    <w:rsid w:val="00330DE7"/>
    <w:rsid w:val="00337645"/>
    <w:rsid w:val="003378AB"/>
    <w:rsid w:val="00337A4C"/>
    <w:rsid w:val="00341E63"/>
    <w:rsid w:val="0035134F"/>
    <w:rsid w:val="00370346"/>
    <w:rsid w:val="00372868"/>
    <w:rsid w:val="00373187"/>
    <w:rsid w:val="003838B2"/>
    <w:rsid w:val="00387AF0"/>
    <w:rsid w:val="00387BC2"/>
    <w:rsid w:val="003943FA"/>
    <w:rsid w:val="00395535"/>
    <w:rsid w:val="00395DD6"/>
    <w:rsid w:val="003A4482"/>
    <w:rsid w:val="003B4C19"/>
    <w:rsid w:val="003B7D49"/>
    <w:rsid w:val="003B7F76"/>
    <w:rsid w:val="003C066D"/>
    <w:rsid w:val="003C19E6"/>
    <w:rsid w:val="003C1F86"/>
    <w:rsid w:val="003C2883"/>
    <w:rsid w:val="003C330A"/>
    <w:rsid w:val="003C73D1"/>
    <w:rsid w:val="003D10EE"/>
    <w:rsid w:val="003D1D45"/>
    <w:rsid w:val="003D676E"/>
    <w:rsid w:val="003E0FE3"/>
    <w:rsid w:val="003E35C6"/>
    <w:rsid w:val="003E683D"/>
    <w:rsid w:val="003E7558"/>
    <w:rsid w:val="003F060E"/>
    <w:rsid w:val="003F4DD7"/>
    <w:rsid w:val="00403017"/>
    <w:rsid w:val="004063EE"/>
    <w:rsid w:val="004106DC"/>
    <w:rsid w:val="00410FAD"/>
    <w:rsid w:val="00411EC3"/>
    <w:rsid w:val="004328DE"/>
    <w:rsid w:val="0043480C"/>
    <w:rsid w:val="00443772"/>
    <w:rsid w:val="00450CBF"/>
    <w:rsid w:val="004543BB"/>
    <w:rsid w:val="00461014"/>
    <w:rsid w:val="00461372"/>
    <w:rsid w:val="00461D8A"/>
    <w:rsid w:val="00462997"/>
    <w:rsid w:val="0046662E"/>
    <w:rsid w:val="00472545"/>
    <w:rsid w:val="00487491"/>
    <w:rsid w:val="00487B44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3BE7"/>
    <w:rsid w:val="00514F5D"/>
    <w:rsid w:val="0052195C"/>
    <w:rsid w:val="00521B31"/>
    <w:rsid w:val="00541EFD"/>
    <w:rsid w:val="00542647"/>
    <w:rsid w:val="0054385C"/>
    <w:rsid w:val="00553229"/>
    <w:rsid w:val="0055436A"/>
    <w:rsid w:val="0056001F"/>
    <w:rsid w:val="0056010A"/>
    <w:rsid w:val="0057010A"/>
    <w:rsid w:val="005704D4"/>
    <w:rsid w:val="0057313A"/>
    <w:rsid w:val="00575F7E"/>
    <w:rsid w:val="00584121"/>
    <w:rsid w:val="00586062"/>
    <w:rsid w:val="005A7234"/>
    <w:rsid w:val="005B0640"/>
    <w:rsid w:val="005B0A88"/>
    <w:rsid w:val="005B5A44"/>
    <w:rsid w:val="005C0C6D"/>
    <w:rsid w:val="005C53FF"/>
    <w:rsid w:val="005C7B40"/>
    <w:rsid w:val="005D6337"/>
    <w:rsid w:val="005D672F"/>
    <w:rsid w:val="005D6DD4"/>
    <w:rsid w:val="005D7E67"/>
    <w:rsid w:val="005E31B4"/>
    <w:rsid w:val="005E4545"/>
    <w:rsid w:val="005E56DF"/>
    <w:rsid w:val="005E75ED"/>
    <w:rsid w:val="005E7F4B"/>
    <w:rsid w:val="005F0718"/>
    <w:rsid w:val="005F349C"/>
    <w:rsid w:val="005F5DB7"/>
    <w:rsid w:val="0060762B"/>
    <w:rsid w:val="00612699"/>
    <w:rsid w:val="0061290F"/>
    <w:rsid w:val="00617CBF"/>
    <w:rsid w:val="0064341F"/>
    <w:rsid w:val="00655A08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B7E4D"/>
    <w:rsid w:val="006D24DC"/>
    <w:rsid w:val="006D5CAD"/>
    <w:rsid w:val="006D73E3"/>
    <w:rsid w:val="006E1A28"/>
    <w:rsid w:val="006E294A"/>
    <w:rsid w:val="006E52F9"/>
    <w:rsid w:val="006F3F1B"/>
    <w:rsid w:val="007009B9"/>
    <w:rsid w:val="00721590"/>
    <w:rsid w:val="00725018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E7967"/>
    <w:rsid w:val="007F11CA"/>
    <w:rsid w:val="007F11CE"/>
    <w:rsid w:val="007F7AAF"/>
    <w:rsid w:val="00800255"/>
    <w:rsid w:val="00801E93"/>
    <w:rsid w:val="00811538"/>
    <w:rsid w:val="00816FBA"/>
    <w:rsid w:val="00824490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832B1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8F01B8"/>
    <w:rsid w:val="008F68A6"/>
    <w:rsid w:val="0090677B"/>
    <w:rsid w:val="00906D9F"/>
    <w:rsid w:val="009136AE"/>
    <w:rsid w:val="009149BC"/>
    <w:rsid w:val="0091744A"/>
    <w:rsid w:val="00920C28"/>
    <w:rsid w:val="00922B00"/>
    <w:rsid w:val="00925E04"/>
    <w:rsid w:val="009270BD"/>
    <w:rsid w:val="00934903"/>
    <w:rsid w:val="00935F22"/>
    <w:rsid w:val="00937106"/>
    <w:rsid w:val="00944183"/>
    <w:rsid w:val="009442E4"/>
    <w:rsid w:val="00953862"/>
    <w:rsid w:val="00964855"/>
    <w:rsid w:val="00982B1B"/>
    <w:rsid w:val="00982BCE"/>
    <w:rsid w:val="009849A1"/>
    <w:rsid w:val="00984A32"/>
    <w:rsid w:val="009922BF"/>
    <w:rsid w:val="00993837"/>
    <w:rsid w:val="00993EC4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4384"/>
    <w:rsid w:val="009E5BCF"/>
    <w:rsid w:val="009E605C"/>
    <w:rsid w:val="009F1512"/>
    <w:rsid w:val="009F2486"/>
    <w:rsid w:val="00A000CD"/>
    <w:rsid w:val="00A030DF"/>
    <w:rsid w:val="00A04B77"/>
    <w:rsid w:val="00A06BAE"/>
    <w:rsid w:val="00A07B50"/>
    <w:rsid w:val="00A2131E"/>
    <w:rsid w:val="00A216E0"/>
    <w:rsid w:val="00A27CA4"/>
    <w:rsid w:val="00A31958"/>
    <w:rsid w:val="00A4208D"/>
    <w:rsid w:val="00A42102"/>
    <w:rsid w:val="00A42F27"/>
    <w:rsid w:val="00A51725"/>
    <w:rsid w:val="00A6599F"/>
    <w:rsid w:val="00A6615D"/>
    <w:rsid w:val="00A67F6C"/>
    <w:rsid w:val="00A8146A"/>
    <w:rsid w:val="00A94102"/>
    <w:rsid w:val="00AA0329"/>
    <w:rsid w:val="00AA0D88"/>
    <w:rsid w:val="00AA4C3B"/>
    <w:rsid w:val="00AA6140"/>
    <w:rsid w:val="00AA7A66"/>
    <w:rsid w:val="00AB2625"/>
    <w:rsid w:val="00AB4B0C"/>
    <w:rsid w:val="00AB58E1"/>
    <w:rsid w:val="00AC3E33"/>
    <w:rsid w:val="00AD04BB"/>
    <w:rsid w:val="00AD79B7"/>
    <w:rsid w:val="00AE159D"/>
    <w:rsid w:val="00AE1720"/>
    <w:rsid w:val="00AE4EBF"/>
    <w:rsid w:val="00AF4724"/>
    <w:rsid w:val="00AF47BD"/>
    <w:rsid w:val="00B024F1"/>
    <w:rsid w:val="00B03644"/>
    <w:rsid w:val="00B04886"/>
    <w:rsid w:val="00B05D98"/>
    <w:rsid w:val="00B102EF"/>
    <w:rsid w:val="00B12113"/>
    <w:rsid w:val="00B17869"/>
    <w:rsid w:val="00B20FED"/>
    <w:rsid w:val="00B270A8"/>
    <w:rsid w:val="00B32482"/>
    <w:rsid w:val="00B33854"/>
    <w:rsid w:val="00B409C9"/>
    <w:rsid w:val="00B441BD"/>
    <w:rsid w:val="00B53F8E"/>
    <w:rsid w:val="00B56F5A"/>
    <w:rsid w:val="00B827CB"/>
    <w:rsid w:val="00B835C1"/>
    <w:rsid w:val="00B913CB"/>
    <w:rsid w:val="00B93127"/>
    <w:rsid w:val="00B9392D"/>
    <w:rsid w:val="00B93B71"/>
    <w:rsid w:val="00B96DB1"/>
    <w:rsid w:val="00B97FA0"/>
    <w:rsid w:val="00BA28B8"/>
    <w:rsid w:val="00BA4644"/>
    <w:rsid w:val="00BB7952"/>
    <w:rsid w:val="00BC0D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D76"/>
    <w:rsid w:val="00C35379"/>
    <w:rsid w:val="00C4360E"/>
    <w:rsid w:val="00C451F9"/>
    <w:rsid w:val="00C45F3A"/>
    <w:rsid w:val="00C47D4D"/>
    <w:rsid w:val="00C47E60"/>
    <w:rsid w:val="00C505CB"/>
    <w:rsid w:val="00C53831"/>
    <w:rsid w:val="00C54F63"/>
    <w:rsid w:val="00C55CDB"/>
    <w:rsid w:val="00C567C7"/>
    <w:rsid w:val="00C57CFB"/>
    <w:rsid w:val="00C64199"/>
    <w:rsid w:val="00C66E2D"/>
    <w:rsid w:val="00C67B79"/>
    <w:rsid w:val="00C75673"/>
    <w:rsid w:val="00C76E57"/>
    <w:rsid w:val="00C809D9"/>
    <w:rsid w:val="00C80B64"/>
    <w:rsid w:val="00C85A99"/>
    <w:rsid w:val="00C86357"/>
    <w:rsid w:val="00C877BA"/>
    <w:rsid w:val="00CB30DB"/>
    <w:rsid w:val="00CB50FD"/>
    <w:rsid w:val="00CB7BAA"/>
    <w:rsid w:val="00CC2BB7"/>
    <w:rsid w:val="00CC359A"/>
    <w:rsid w:val="00CD0580"/>
    <w:rsid w:val="00CD1061"/>
    <w:rsid w:val="00CD2E89"/>
    <w:rsid w:val="00CD50FB"/>
    <w:rsid w:val="00CD53F8"/>
    <w:rsid w:val="00CD5A3D"/>
    <w:rsid w:val="00CE008F"/>
    <w:rsid w:val="00CE1A15"/>
    <w:rsid w:val="00CE2403"/>
    <w:rsid w:val="00CF3EB7"/>
    <w:rsid w:val="00CF572C"/>
    <w:rsid w:val="00D05ABC"/>
    <w:rsid w:val="00D063D6"/>
    <w:rsid w:val="00D1042B"/>
    <w:rsid w:val="00D11641"/>
    <w:rsid w:val="00D17BB4"/>
    <w:rsid w:val="00D21C5E"/>
    <w:rsid w:val="00D2406F"/>
    <w:rsid w:val="00D24573"/>
    <w:rsid w:val="00D2784D"/>
    <w:rsid w:val="00D3559C"/>
    <w:rsid w:val="00D56CD3"/>
    <w:rsid w:val="00D628B9"/>
    <w:rsid w:val="00D6309D"/>
    <w:rsid w:val="00D65272"/>
    <w:rsid w:val="00D7034E"/>
    <w:rsid w:val="00D73370"/>
    <w:rsid w:val="00D7498D"/>
    <w:rsid w:val="00D80FC3"/>
    <w:rsid w:val="00DA142C"/>
    <w:rsid w:val="00DA21D1"/>
    <w:rsid w:val="00DA7738"/>
    <w:rsid w:val="00DB125D"/>
    <w:rsid w:val="00DB1DCA"/>
    <w:rsid w:val="00DB2E27"/>
    <w:rsid w:val="00DB41B1"/>
    <w:rsid w:val="00DD1848"/>
    <w:rsid w:val="00DD1BBB"/>
    <w:rsid w:val="00DE244A"/>
    <w:rsid w:val="00E0259A"/>
    <w:rsid w:val="00E03D6F"/>
    <w:rsid w:val="00E040D5"/>
    <w:rsid w:val="00E04714"/>
    <w:rsid w:val="00E315AF"/>
    <w:rsid w:val="00E31741"/>
    <w:rsid w:val="00E34403"/>
    <w:rsid w:val="00E373BF"/>
    <w:rsid w:val="00E377BB"/>
    <w:rsid w:val="00E407ED"/>
    <w:rsid w:val="00E434E4"/>
    <w:rsid w:val="00E52F22"/>
    <w:rsid w:val="00E56217"/>
    <w:rsid w:val="00E577C1"/>
    <w:rsid w:val="00E72708"/>
    <w:rsid w:val="00E73549"/>
    <w:rsid w:val="00E745AD"/>
    <w:rsid w:val="00E803BE"/>
    <w:rsid w:val="00E8272A"/>
    <w:rsid w:val="00E82D2D"/>
    <w:rsid w:val="00E8517B"/>
    <w:rsid w:val="00E8788A"/>
    <w:rsid w:val="00E91568"/>
    <w:rsid w:val="00E9381E"/>
    <w:rsid w:val="00E9536E"/>
    <w:rsid w:val="00EA3234"/>
    <w:rsid w:val="00EA4608"/>
    <w:rsid w:val="00EA526F"/>
    <w:rsid w:val="00EA52BE"/>
    <w:rsid w:val="00EA6E58"/>
    <w:rsid w:val="00EB0A84"/>
    <w:rsid w:val="00EB7F03"/>
    <w:rsid w:val="00EC2470"/>
    <w:rsid w:val="00EC4DAD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335C2"/>
    <w:rsid w:val="00F41B4A"/>
    <w:rsid w:val="00F41CC3"/>
    <w:rsid w:val="00F438DB"/>
    <w:rsid w:val="00F4428E"/>
    <w:rsid w:val="00F505CF"/>
    <w:rsid w:val="00F555A8"/>
    <w:rsid w:val="00F615CD"/>
    <w:rsid w:val="00F65155"/>
    <w:rsid w:val="00F7503B"/>
    <w:rsid w:val="00F768D9"/>
    <w:rsid w:val="00F80B74"/>
    <w:rsid w:val="00F81661"/>
    <w:rsid w:val="00F93782"/>
    <w:rsid w:val="00F962EE"/>
    <w:rsid w:val="00FA51AE"/>
    <w:rsid w:val="00FA55C9"/>
    <w:rsid w:val="00FA5CA7"/>
    <w:rsid w:val="00FB0816"/>
    <w:rsid w:val="00FB1FF5"/>
    <w:rsid w:val="00FB2A58"/>
    <w:rsid w:val="00FC03B1"/>
    <w:rsid w:val="00FC22E5"/>
    <w:rsid w:val="00FC3F38"/>
    <w:rsid w:val="00FC5187"/>
    <w:rsid w:val="00FC5CF8"/>
    <w:rsid w:val="00FD0C0C"/>
    <w:rsid w:val="00FD411F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126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4567-59F3-4E1E-B649-77967077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Jennifer Moore</cp:lastModifiedBy>
  <cp:revision>2</cp:revision>
  <cp:lastPrinted>2020-01-15T18:55:00Z</cp:lastPrinted>
  <dcterms:created xsi:type="dcterms:W3CDTF">2020-02-07T16:22:00Z</dcterms:created>
  <dcterms:modified xsi:type="dcterms:W3CDTF">2020-02-07T16:22:00Z</dcterms:modified>
</cp:coreProperties>
</file>