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667A" w14:textId="77777777" w:rsidR="008B0277" w:rsidRDefault="001D0F5E">
      <w:pPr>
        <w:pStyle w:val="Title"/>
      </w:pPr>
      <w:r>
        <w:t>Transect Report</w:t>
      </w:r>
    </w:p>
    <w:p w14:paraId="5F7322E5" w14:textId="77777777" w:rsidR="008B0277" w:rsidRDefault="001D0F5E">
      <w:pPr>
        <w:pStyle w:val="Heading1"/>
      </w:pPr>
      <w:bookmarkStart w:id="0" w:name="overview"/>
      <w:r>
        <w:t>Overview</w:t>
      </w:r>
      <w:bookmarkEnd w:id="0"/>
    </w:p>
    <w:p w14:paraId="5F0E9D75" w14:textId="77777777" w:rsidR="008B0277" w:rsidRDefault="001D0F5E">
      <w:pPr>
        <w:pStyle w:val="FirstParagraph"/>
      </w:pPr>
      <w:r>
        <w:t>This report provides summary statistics and figures for ongoing transect sampling. The first section of the report focuses on the current sampling (Winter 2020-2021) and how the collected data compare to last year’s sampling (Winter 2019-2020). So far 25 d</w:t>
      </w:r>
      <w:r>
        <w:t>ays have been sampled this season. The second half of the report gives summaries of all of the data that have been collected since the beginning of the project (2010-05-27). In total, 118 days have been sampled over this entire project.</w:t>
      </w:r>
    </w:p>
    <w:p w14:paraId="30809432" w14:textId="77777777" w:rsidR="008B0277" w:rsidRDefault="001D0F5E">
      <w:pPr>
        <w:pStyle w:val="Heading2"/>
      </w:pPr>
      <w:bookmarkStart w:id="1" w:name="definition-of-strata"/>
      <w:r>
        <w:t>Definition of Strata</w:t>
      </w:r>
      <w:bookmarkEnd w:id="1"/>
    </w:p>
    <w:tbl>
      <w:tblPr>
        <w:tblStyle w:val="Table"/>
        <w:tblW w:w="0" w:type="pct"/>
        <w:tblLook w:val="07E0" w:firstRow="1" w:lastRow="1" w:firstColumn="1" w:lastColumn="1" w:noHBand="1" w:noVBand="1"/>
      </w:tblPr>
      <w:tblGrid>
        <w:gridCol w:w="1111"/>
        <w:gridCol w:w="2607"/>
      </w:tblGrid>
      <w:tr w:rsidR="008B0277" w14:paraId="299C4452" w14:textId="77777777">
        <w:tc>
          <w:tcPr>
            <w:tcW w:w="0" w:type="auto"/>
            <w:tcBorders>
              <w:bottom w:val="single" w:sz="0" w:space="0" w:color="auto"/>
            </w:tcBorders>
            <w:vAlign w:val="bottom"/>
          </w:tcPr>
          <w:p w14:paraId="4FC22059" w14:textId="77777777" w:rsidR="008B0277" w:rsidRDefault="001D0F5E">
            <w:pPr>
              <w:pStyle w:val="Compact"/>
            </w:pPr>
            <w:r>
              <w:t>STRATA</w:t>
            </w:r>
          </w:p>
        </w:tc>
        <w:tc>
          <w:tcPr>
            <w:tcW w:w="0" w:type="auto"/>
            <w:tcBorders>
              <w:bottom w:val="single" w:sz="0" w:space="0" w:color="auto"/>
            </w:tcBorders>
            <w:vAlign w:val="bottom"/>
          </w:tcPr>
          <w:p w14:paraId="655FDC88" w14:textId="77777777" w:rsidR="008B0277" w:rsidRDefault="001D0F5E">
            <w:pPr>
              <w:pStyle w:val="Compact"/>
              <w:jc w:val="right"/>
            </w:pPr>
            <w:r>
              <w:t>DEFINITION</w:t>
            </w:r>
          </w:p>
        </w:tc>
      </w:tr>
      <w:tr w:rsidR="008B0277" w14:paraId="7179C694" w14:textId="77777777">
        <w:tc>
          <w:tcPr>
            <w:tcW w:w="0" w:type="auto"/>
          </w:tcPr>
          <w:p w14:paraId="6AF5BB61" w14:textId="77777777" w:rsidR="008B0277" w:rsidRDefault="001D0F5E">
            <w:pPr>
              <w:pStyle w:val="Compact"/>
            </w:pPr>
            <w:r>
              <w:t>Y_N</w:t>
            </w:r>
          </w:p>
        </w:tc>
        <w:tc>
          <w:tcPr>
            <w:tcW w:w="0" w:type="auto"/>
          </w:tcPr>
          <w:p w14:paraId="70225DEA" w14:textId="77777777" w:rsidR="008B0277" w:rsidRDefault="001D0F5E">
            <w:pPr>
              <w:pStyle w:val="Compact"/>
              <w:jc w:val="right"/>
            </w:pPr>
            <w:r>
              <w:t>Yes Harvest, No Rock</w:t>
            </w:r>
          </w:p>
        </w:tc>
      </w:tr>
      <w:tr w:rsidR="008B0277" w14:paraId="30B9E34B" w14:textId="77777777">
        <w:tc>
          <w:tcPr>
            <w:tcW w:w="0" w:type="auto"/>
          </w:tcPr>
          <w:p w14:paraId="67C3FD3F" w14:textId="77777777" w:rsidR="008B0277" w:rsidRDefault="001D0F5E">
            <w:pPr>
              <w:pStyle w:val="Compact"/>
            </w:pPr>
            <w:r>
              <w:t>Y_Y</w:t>
            </w:r>
          </w:p>
        </w:tc>
        <w:tc>
          <w:tcPr>
            <w:tcW w:w="0" w:type="auto"/>
          </w:tcPr>
          <w:p w14:paraId="64D73FDD" w14:textId="77777777" w:rsidR="008B0277" w:rsidRDefault="001D0F5E">
            <w:pPr>
              <w:pStyle w:val="Compact"/>
              <w:jc w:val="right"/>
            </w:pPr>
            <w:r>
              <w:t>Yes Harvest, Yes Rock</w:t>
            </w:r>
          </w:p>
        </w:tc>
      </w:tr>
      <w:tr w:rsidR="008B0277" w14:paraId="7FDDA953" w14:textId="77777777">
        <w:tc>
          <w:tcPr>
            <w:tcW w:w="0" w:type="auto"/>
          </w:tcPr>
          <w:p w14:paraId="66517E33" w14:textId="77777777" w:rsidR="008B0277" w:rsidRDefault="001D0F5E">
            <w:pPr>
              <w:pStyle w:val="Compact"/>
            </w:pPr>
            <w:r>
              <w:t>N_N</w:t>
            </w:r>
          </w:p>
        </w:tc>
        <w:tc>
          <w:tcPr>
            <w:tcW w:w="0" w:type="auto"/>
          </w:tcPr>
          <w:p w14:paraId="5F634F14" w14:textId="77777777" w:rsidR="008B0277" w:rsidRDefault="001D0F5E">
            <w:pPr>
              <w:pStyle w:val="Compact"/>
              <w:jc w:val="right"/>
            </w:pPr>
            <w:r>
              <w:t>No Harvest, No Rock</w:t>
            </w:r>
          </w:p>
        </w:tc>
      </w:tr>
      <w:tr w:rsidR="008B0277" w14:paraId="2F793F48" w14:textId="77777777">
        <w:tc>
          <w:tcPr>
            <w:tcW w:w="0" w:type="auto"/>
          </w:tcPr>
          <w:p w14:paraId="75B5C70A" w14:textId="77777777" w:rsidR="008B0277" w:rsidRDefault="001D0F5E">
            <w:pPr>
              <w:pStyle w:val="Compact"/>
            </w:pPr>
            <w:r>
              <w:t>N_Y</w:t>
            </w:r>
          </w:p>
        </w:tc>
        <w:tc>
          <w:tcPr>
            <w:tcW w:w="0" w:type="auto"/>
          </w:tcPr>
          <w:p w14:paraId="59A1CE6E" w14:textId="77777777" w:rsidR="008B0277" w:rsidRDefault="001D0F5E">
            <w:pPr>
              <w:pStyle w:val="Compact"/>
              <w:jc w:val="right"/>
            </w:pPr>
            <w:r>
              <w:t>No Harvest, Yes Rock</w:t>
            </w:r>
          </w:p>
        </w:tc>
      </w:tr>
      <w:tr w:rsidR="008B0277" w14:paraId="7D3BB352" w14:textId="77777777">
        <w:tc>
          <w:tcPr>
            <w:tcW w:w="0" w:type="auto"/>
          </w:tcPr>
          <w:p w14:paraId="597D8785" w14:textId="77777777" w:rsidR="008B0277" w:rsidRDefault="001D0F5E">
            <w:pPr>
              <w:pStyle w:val="Compact"/>
            </w:pPr>
            <w:r>
              <w:t>N_PILOT</w:t>
            </w:r>
          </w:p>
        </w:tc>
        <w:tc>
          <w:tcPr>
            <w:tcW w:w="0" w:type="auto"/>
          </w:tcPr>
          <w:p w14:paraId="3FC4D567" w14:textId="77777777" w:rsidR="008B0277" w:rsidRDefault="001D0F5E">
            <w:pPr>
              <w:pStyle w:val="Compact"/>
              <w:jc w:val="right"/>
            </w:pPr>
            <w:r>
              <w:t>No Harvest, Pilot Rocks</w:t>
            </w:r>
          </w:p>
        </w:tc>
      </w:tr>
    </w:tbl>
    <w:p w14:paraId="485A5D71" w14:textId="77777777" w:rsidR="004C7D1E" w:rsidRDefault="004C7D1E">
      <w:pPr>
        <w:pStyle w:val="Heading1"/>
      </w:pPr>
      <w:bookmarkStart w:id="2" w:name="current-sampling"/>
    </w:p>
    <w:p w14:paraId="324F5AF5" w14:textId="296144B8" w:rsidR="004C7D1E" w:rsidRDefault="004C7D1E">
      <w:pPr>
        <w:pStyle w:val="Heading1"/>
      </w:pPr>
    </w:p>
    <w:p w14:paraId="139606E9" w14:textId="7D93D7BB" w:rsidR="004C7D1E" w:rsidRDefault="004C7D1E" w:rsidP="004C7D1E">
      <w:pPr>
        <w:pStyle w:val="BodyText"/>
      </w:pPr>
    </w:p>
    <w:p w14:paraId="2BC81EE4" w14:textId="3755D158" w:rsidR="004C7D1E" w:rsidRDefault="004C7D1E" w:rsidP="004C7D1E">
      <w:pPr>
        <w:pStyle w:val="BodyText"/>
      </w:pPr>
    </w:p>
    <w:p w14:paraId="724CDF81" w14:textId="0A273D18" w:rsidR="004C7D1E" w:rsidRDefault="004C7D1E" w:rsidP="004C7D1E">
      <w:pPr>
        <w:pStyle w:val="BodyText"/>
      </w:pPr>
    </w:p>
    <w:p w14:paraId="1E5F847B" w14:textId="516A3674" w:rsidR="004C7D1E" w:rsidRDefault="004C7D1E" w:rsidP="004C7D1E">
      <w:pPr>
        <w:pStyle w:val="BodyText"/>
      </w:pPr>
    </w:p>
    <w:p w14:paraId="72B7DCD3" w14:textId="129F7EF2" w:rsidR="004C7D1E" w:rsidRDefault="004C7D1E" w:rsidP="004C7D1E">
      <w:pPr>
        <w:pStyle w:val="BodyText"/>
      </w:pPr>
    </w:p>
    <w:p w14:paraId="0BD5B9CC" w14:textId="21457D36" w:rsidR="004C7D1E" w:rsidRDefault="004C7D1E" w:rsidP="004C7D1E">
      <w:pPr>
        <w:pStyle w:val="BodyText"/>
      </w:pPr>
    </w:p>
    <w:p w14:paraId="01E139A4" w14:textId="386D04D2" w:rsidR="004C7D1E" w:rsidRDefault="004C7D1E" w:rsidP="004C7D1E">
      <w:pPr>
        <w:pStyle w:val="BodyText"/>
      </w:pPr>
    </w:p>
    <w:p w14:paraId="495EC7A1" w14:textId="77777777" w:rsidR="004C7D1E" w:rsidRPr="004C7D1E" w:rsidRDefault="004C7D1E" w:rsidP="004C7D1E">
      <w:pPr>
        <w:pStyle w:val="BodyText"/>
      </w:pPr>
    </w:p>
    <w:p w14:paraId="765B47FF" w14:textId="496E94CD" w:rsidR="008B0277" w:rsidRDefault="001D0F5E">
      <w:pPr>
        <w:pStyle w:val="Heading1"/>
      </w:pPr>
      <w:r>
        <w:lastRenderedPageBreak/>
        <w:t>Current Sampling</w:t>
      </w:r>
      <w:bookmarkEnd w:id="2"/>
    </w:p>
    <w:p w14:paraId="26E6018B" w14:textId="77777777" w:rsidR="008B0277" w:rsidRDefault="001D0F5E">
      <w:pPr>
        <w:pStyle w:val="FirstParagraph"/>
      </w:pPr>
      <w:r>
        <w:t xml:space="preserve">Here, we provide a progress bar showing how much of the sampling has been completed for this season, plus summary tables and plots comparing live counts and density of oysters between this current season and last year. </w:t>
      </w:r>
      <w:r>
        <w:rPr>
          <w:b/>
        </w:rPr>
        <w:t>The current sampling period is period</w:t>
      </w:r>
      <w:r>
        <w:rPr>
          <w:b/>
        </w:rPr>
        <w:t xml:space="preserve"> 22, and last year’s sampling period is period 20.</w:t>
      </w:r>
    </w:p>
    <w:p w14:paraId="60D5E75E" w14:textId="77777777" w:rsidR="008B0277" w:rsidRDefault="001D0F5E">
      <w:pPr>
        <w:pStyle w:val="BodyText"/>
      </w:pPr>
      <w:r>
        <w:rPr>
          <w:noProof/>
        </w:rPr>
        <w:drawing>
          <wp:inline distT="0" distB="0" distL="0" distR="0" wp14:anchorId="1EEC3721" wp14:editId="670BBAD7">
            <wp:extent cx="5334000" cy="4572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progress_bar-1.png"/>
                    <pic:cNvPicPr>
                      <a:picLocks noChangeAspect="1" noChangeArrowheads="1"/>
                    </pic:cNvPicPr>
                  </pic:nvPicPr>
                  <pic:blipFill>
                    <a:blip r:embed="rId7"/>
                    <a:stretch>
                      <a:fillRect/>
                    </a:stretch>
                  </pic:blipFill>
                  <pic:spPr bwMode="auto">
                    <a:xfrm>
                      <a:off x="0" y="0"/>
                      <a:ext cx="5334000" cy="4572000"/>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1068"/>
        <w:gridCol w:w="2092"/>
      </w:tblGrid>
      <w:tr w:rsidR="008B0277" w14:paraId="240242F4" w14:textId="77777777">
        <w:tc>
          <w:tcPr>
            <w:tcW w:w="0" w:type="auto"/>
            <w:tcBorders>
              <w:bottom w:val="single" w:sz="0" w:space="0" w:color="auto"/>
            </w:tcBorders>
            <w:vAlign w:val="bottom"/>
          </w:tcPr>
          <w:p w14:paraId="0919F1FE" w14:textId="77777777" w:rsidR="008B0277" w:rsidRDefault="001D0F5E">
            <w:pPr>
              <w:pStyle w:val="Compact"/>
            </w:pPr>
            <w:r>
              <w:t>STRATA</w:t>
            </w:r>
          </w:p>
        </w:tc>
        <w:tc>
          <w:tcPr>
            <w:tcW w:w="0" w:type="auto"/>
            <w:tcBorders>
              <w:bottom w:val="single" w:sz="0" w:space="0" w:color="auto"/>
            </w:tcBorders>
            <w:vAlign w:val="bottom"/>
          </w:tcPr>
          <w:p w14:paraId="436565E1" w14:textId="77777777" w:rsidR="008B0277" w:rsidRDefault="001D0F5E">
            <w:pPr>
              <w:pStyle w:val="Compact"/>
              <w:jc w:val="right"/>
            </w:pPr>
            <w:r>
              <w:t>Meters Completed</w:t>
            </w:r>
          </w:p>
        </w:tc>
      </w:tr>
      <w:tr w:rsidR="008B0277" w14:paraId="2EB5B982" w14:textId="77777777">
        <w:tc>
          <w:tcPr>
            <w:tcW w:w="0" w:type="auto"/>
          </w:tcPr>
          <w:p w14:paraId="05CF58CB" w14:textId="77777777" w:rsidR="008B0277" w:rsidRDefault="001D0F5E">
            <w:pPr>
              <w:pStyle w:val="Compact"/>
            </w:pPr>
            <w:r>
              <w:t>Y_N</w:t>
            </w:r>
          </w:p>
        </w:tc>
        <w:tc>
          <w:tcPr>
            <w:tcW w:w="0" w:type="auto"/>
          </w:tcPr>
          <w:p w14:paraId="7E8E2887" w14:textId="77777777" w:rsidR="008B0277" w:rsidRDefault="001D0F5E">
            <w:pPr>
              <w:pStyle w:val="Compact"/>
              <w:jc w:val="right"/>
            </w:pPr>
            <w:r>
              <w:t>424</w:t>
            </w:r>
          </w:p>
        </w:tc>
      </w:tr>
      <w:tr w:rsidR="008B0277" w14:paraId="62B5F35C" w14:textId="77777777">
        <w:tc>
          <w:tcPr>
            <w:tcW w:w="0" w:type="auto"/>
          </w:tcPr>
          <w:p w14:paraId="0C9A6A73" w14:textId="77777777" w:rsidR="008B0277" w:rsidRDefault="001D0F5E">
            <w:pPr>
              <w:pStyle w:val="Compact"/>
            </w:pPr>
            <w:r>
              <w:t>Y_Y</w:t>
            </w:r>
          </w:p>
        </w:tc>
        <w:tc>
          <w:tcPr>
            <w:tcW w:w="0" w:type="auto"/>
          </w:tcPr>
          <w:p w14:paraId="1AF2766D" w14:textId="77777777" w:rsidR="008B0277" w:rsidRDefault="001D0F5E">
            <w:pPr>
              <w:pStyle w:val="Compact"/>
              <w:jc w:val="right"/>
            </w:pPr>
            <w:r>
              <w:t>1138.3</w:t>
            </w:r>
          </w:p>
        </w:tc>
      </w:tr>
      <w:tr w:rsidR="008B0277" w14:paraId="55CDF84D" w14:textId="77777777">
        <w:tc>
          <w:tcPr>
            <w:tcW w:w="0" w:type="auto"/>
          </w:tcPr>
          <w:p w14:paraId="7946005D" w14:textId="77777777" w:rsidR="008B0277" w:rsidRDefault="001D0F5E">
            <w:pPr>
              <w:pStyle w:val="Compact"/>
            </w:pPr>
            <w:r>
              <w:t>N_N</w:t>
            </w:r>
          </w:p>
        </w:tc>
        <w:tc>
          <w:tcPr>
            <w:tcW w:w="0" w:type="auto"/>
          </w:tcPr>
          <w:p w14:paraId="0D88D7DD" w14:textId="77777777" w:rsidR="008B0277" w:rsidRDefault="001D0F5E">
            <w:pPr>
              <w:pStyle w:val="Compact"/>
              <w:jc w:val="right"/>
            </w:pPr>
            <w:r>
              <w:t>543</w:t>
            </w:r>
          </w:p>
        </w:tc>
      </w:tr>
      <w:tr w:rsidR="008B0277" w14:paraId="28CC72A3" w14:textId="77777777">
        <w:tc>
          <w:tcPr>
            <w:tcW w:w="0" w:type="auto"/>
          </w:tcPr>
          <w:p w14:paraId="59BB7298" w14:textId="77777777" w:rsidR="008B0277" w:rsidRDefault="001D0F5E">
            <w:pPr>
              <w:pStyle w:val="Compact"/>
            </w:pPr>
            <w:r>
              <w:t>N_Y</w:t>
            </w:r>
          </w:p>
        </w:tc>
        <w:tc>
          <w:tcPr>
            <w:tcW w:w="0" w:type="auto"/>
          </w:tcPr>
          <w:p w14:paraId="07281C25" w14:textId="77777777" w:rsidR="008B0277" w:rsidRDefault="001D0F5E">
            <w:pPr>
              <w:pStyle w:val="Compact"/>
              <w:jc w:val="right"/>
            </w:pPr>
            <w:r>
              <w:t>1183</w:t>
            </w:r>
          </w:p>
        </w:tc>
      </w:tr>
    </w:tbl>
    <w:p w14:paraId="46569DB9" w14:textId="77777777" w:rsidR="008B0277" w:rsidRDefault="001D0F5E">
      <w:pPr>
        <w:pStyle w:val="BodyText"/>
      </w:pPr>
      <w:r>
        <w:t>Table - Displaying the total meters surveyed during period 22 per strata.</w:t>
      </w:r>
    </w:p>
    <w:p w14:paraId="03ED9921" w14:textId="77777777" w:rsidR="008B0277" w:rsidRDefault="001D0F5E">
      <w:pPr>
        <w:pStyle w:val="Heading2"/>
      </w:pPr>
      <w:bookmarkStart w:id="3" w:name="summary-plots-for-periods-18-20-and-22"/>
      <w:r>
        <w:lastRenderedPageBreak/>
        <w:t>Summary Plots for Periods 18, 20 and 22</w:t>
      </w:r>
      <w:bookmarkEnd w:id="3"/>
    </w:p>
    <w:p w14:paraId="021637E6" w14:textId="77777777" w:rsidR="004C7D1E" w:rsidRDefault="001D0F5E">
      <w:pPr>
        <w:pStyle w:val="FirstParagraph"/>
      </w:pPr>
      <w:r>
        <w:rPr>
          <w:noProof/>
        </w:rPr>
        <w:drawing>
          <wp:inline distT="0" distB="0" distL="0" distR="0" wp14:anchorId="480BB062" wp14:editId="037A771F">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2022_local-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4D182F13" w14:textId="541D4613" w:rsidR="008B0277" w:rsidRDefault="001D0F5E">
      <w:pPr>
        <w:pStyle w:val="FirstParagraph"/>
      </w:pPr>
      <w:r>
        <w:t xml:space="preserve">Figure- Calculated live oyster density by locality for periods 18 (Winter 2018-2019), 20 (Winter 2019-2020) and 22 (Winter 2020-2021) with the last sample date of period 22 as 2021-02-26. </w:t>
      </w:r>
    </w:p>
    <w:p w14:paraId="0E205846" w14:textId="77777777" w:rsidR="004C7D1E" w:rsidRDefault="001D0F5E">
      <w:pPr>
        <w:pStyle w:val="BodyText"/>
      </w:pPr>
      <w:r>
        <w:rPr>
          <w:noProof/>
        </w:rPr>
        <w:lastRenderedPageBreak/>
        <w:drawing>
          <wp:inline distT="0" distB="0" distL="0" distR="0" wp14:anchorId="0C3899BC" wp14:editId="726E80FC">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unnamed-chunk-2-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33D2CC90" w14:textId="296B22BC" w:rsidR="008B0277" w:rsidRDefault="001D0F5E">
      <w:pPr>
        <w:pStyle w:val="BodyText"/>
      </w:pPr>
      <w:r>
        <w:t xml:space="preserve"> Figure- Calculated dead oyster density by locality for periods 18</w:t>
      </w:r>
      <w:r>
        <w:t xml:space="preserve"> (Winter 2018-2019), 20 (Winter 2019-2020) and 22 (Winter 2020-2021) with the last sample date of period 22 as 2021-02-26. </w:t>
      </w:r>
    </w:p>
    <w:p w14:paraId="05E7E923" w14:textId="77777777" w:rsidR="004C7D1E" w:rsidRDefault="001D0F5E">
      <w:pPr>
        <w:pStyle w:val="BodyText"/>
      </w:pPr>
      <w:r>
        <w:rPr>
          <w:noProof/>
        </w:rPr>
        <w:lastRenderedPageBreak/>
        <w:drawing>
          <wp:inline distT="0" distB="0" distL="0" distR="0" wp14:anchorId="14572C86" wp14:editId="6F53D696">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2022_strata-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38FE6FED" w14:textId="09E734F9" w:rsidR="008B0277" w:rsidRDefault="001D0F5E">
      <w:pPr>
        <w:pStyle w:val="BodyText"/>
      </w:pPr>
      <w:r>
        <w:t>Figure- Calculated live oyster density by strata for periods 18 (Winter 2018-2019), 20 (Winter 2019-2020) and 22 (Winter 2020-2021</w:t>
      </w:r>
      <w:r>
        <w:t xml:space="preserve">) with the last sample date of period 22 as 2021-02-26. </w:t>
      </w:r>
    </w:p>
    <w:p w14:paraId="49DCB8C7" w14:textId="77777777" w:rsidR="004C7D1E" w:rsidRDefault="001D0F5E">
      <w:pPr>
        <w:pStyle w:val="BodyText"/>
      </w:pPr>
      <w:r>
        <w:rPr>
          <w:noProof/>
        </w:rPr>
        <w:lastRenderedPageBreak/>
        <w:drawing>
          <wp:inline distT="0" distB="0" distL="0" distR="0" wp14:anchorId="7E5C2463" wp14:editId="2FECD962">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unnamed-chunk-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1418B91B" w14:textId="2CE78B6E" w:rsidR="008B0277" w:rsidRDefault="001D0F5E">
      <w:pPr>
        <w:pStyle w:val="BodyText"/>
      </w:pPr>
      <w:r>
        <w:t xml:space="preserve">Figure- Calculated dead oyster density by strata for periods 18 (Winter 2018-2019), 20 (Winter 2019-2020) and 22 (Winter 2020-2021) with the last sample date of period 22 as 2021-02-26. </w:t>
      </w:r>
    </w:p>
    <w:p w14:paraId="086747BA" w14:textId="77777777" w:rsidR="004C7D1E" w:rsidRDefault="004C7D1E">
      <w:pPr>
        <w:pStyle w:val="BodyText"/>
      </w:pPr>
    </w:p>
    <w:p w14:paraId="5061E10E" w14:textId="77777777" w:rsidR="004C7D1E" w:rsidRDefault="004C7D1E">
      <w:pPr>
        <w:pStyle w:val="BodyText"/>
      </w:pPr>
    </w:p>
    <w:p w14:paraId="697D865E" w14:textId="77777777" w:rsidR="004C7D1E" w:rsidRDefault="004C7D1E">
      <w:pPr>
        <w:pStyle w:val="BodyText"/>
      </w:pPr>
    </w:p>
    <w:p w14:paraId="6F53292A" w14:textId="77777777" w:rsidR="004C7D1E" w:rsidRDefault="004C7D1E">
      <w:pPr>
        <w:pStyle w:val="BodyText"/>
      </w:pPr>
    </w:p>
    <w:p w14:paraId="2E4F649B" w14:textId="77777777" w:rsidR="004C7D1E" w:rsidRDefault="004C7D1E">
      <w:pPr>
        <w:pStyle w:val="BodyText"/>
      </w:pPr>
    </w:p>
    <w:p w14:paraId="6397D648" w14:textId="77777777" w:rsidR="004C7D1E" w:rsidRDefault="004C7D1E">
      <w:pPr>
        <w:pStyle w:val="BodyText"/>
      </w:pPr>
    </w:p>
    <w:p w14:paraId="6D524139" w14:textId="77777777" w:rsidR="004C7D1E" w:rsidRDefault="004C7D1E">
      <w:pPr>
        <w:pStyle w:val="BodyText"/>
      </w:pPr>
    </w:p>
    <w:p w14:paraId="13820AC4" w14:textId="530476E6" w:rsidR="008B0277" w:rsidRDefault="001D0F5E">
      <w:pPr>
        <w:pStyle w:val="BodyText"/>
      </w:pPr>
      <w:r>
        <w:lastRenderedPageBreak/>
        <w:t>The follow</w:t>
      </w:r>
      <w:r>
        <w:t xml:space="preserve">ing summary plot </w:t>
      </w:r>
      <w:proofErr w:type="gramStart"/>
      <w:r>
        <w:t>is calculated</w:t>
      </w:r>
      <w:proofErr w:type="gramEnd"/>
      <w:r>
        <w:t xml:space="preserve"> in R using the </w:t>
      </w:r>
      <w:r>
        <w:rPr>
          <w:rStyle w:val="VerbatimChar"/>
        </w:rPr>
        <w:t>geom_density</w:t>
      </w:r>
      <w:r>
        <w:t xml:space="preserve"> (</w:t>
      </w:r>
      <w:hyperlink r:id="rId12">
        <w:r>
          <w:rPr>
            <w:rStyle w:val="Hyperlink"/>
          </w:rPr>
          <w:t>https://ggplot2.tidyverse.org/reference/geom_density.html</w:t>
        </w:r>
      </w:hyperlink>
      <w:r>
        <w:t xml:space="preserve">) statistical function in </w:t>
      </w:r>
      <w:r>
        <w:rPr>
          <w:rStyle w:val="VerbatimChar"/>
        </w:rPr>
        <w:t>ggplot</w:t>
      </w:r>
      <w:r>
        <w:t xml:space="preserve">. The </w:t>
      </w:r>
      <w:r>
        <w:rPr>
          <w:rStyle w:val="VerbatimChar"/>
        </w:rPr>
        <w:t>geom_density</w:t>
      </w:r>
      <w:r>
        <w:t xml:space="preserve"> function co</w:t>
      </w:r>
      <w:r>
        <w:t>mputes and draws kernel density estimates, which is then represented as a smoothed version of a histogram.</w:t>
      </w:r>
    </w:p>
    <w:p w14:paraId="332AC627" w14:textId="77777777" w:rsidR="004C7D1E" w:rsidRDefault="001D0F5E">
      <w:pPr>
        <w:pStyle w:val="BodyText"/>
      </w:pPr>
      <w:r>
        <w:rPr>
          <w:noProof/>
        </w:rPr>
        <w:drawing>
          <wp:inline distT="0" distB="0" distL="0" distR="0" wp14:anchorId="2C5C6257" wp14:editId="6F355FFF">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unnamed-chunk-4-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7EE3BF64" w14:textId="079D2896" w:rsidR="008B0277" w:rsidRDefault="001D0F5E">
      <w:pPr>
        <w:pStyle w:val="BodyText"/>
      </w:pPr>
      <w:r>
        <w:t>Figure- Calculated live oyster density by periods 18 (Winter 2018-2019) and 20 (Winter 2019-2020) using a probability density function with the las</w:t>
      </w:r>
      <w:r>
        <w:t xml:space="preserve">t sample date of period 22 as 2021-02-26. </w:t>
      </w:r>
    </w:p>
    <w:p w14:paraId="3226DCFA" w14:textId="77777777" w:rsidR="004C7D1E" w:rsidRDefault="001D0F5E">
      <w:pPr>
        <w:pStyle w:val="BodyText"/>
      </w:pPr>
      <w:r>
        <w:rPr>
          <w:noProof/>
        </w:rPr>
        <w:lastRenderedPageBreak/>
        <w:drawing>
          <wp:inline distT="0" distB="0" distL="0" distR="0" wp14:anchorId="6DB0A2E9" wp14:editId="2C66A66D">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unnamed-chunk-5-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02325665" w14:textId="0B00A0D6" w:rsidR="008B0277" w:rsidRDefault="001D0F5E">
      <w:pPr>
        <w:pStyle w:val="BodyText"/>
      </w:pPr>
      <w:r>
        <w:t xml:space="preserve">Figure- Calculated dead oyster density by periods 18 (Winter 2018-2019) and 20 (Winter 2019-2020) using a probability density function with the last sample date of period 22 as 2021-02-26. </w:t>
      </w:r>
    </w:p>
    <w:p w14:paraId="281F5DDF" w14:textId="77777777" w:rsidR="004C7D1E" w:rsidRDefault="001D0F5E">
      <w:pPr>
        <w:pStyle w:val="BodyText"/>
      </w:pPr>
      <w:r>
        <w:rPr>
          <w:noProof/>
        </w:rPr>
        <w:lastRenderedPageBreak/>
        <w:drawing>
          <wp:inline distT="0" distB="0" distL="0" distR="0" wp14:anchorId="790B7F15" wp14:editId="49174084">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den_plot-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602905EE" w14:textId="17F8353F" w:rsidR="008B0277" w:rsidRDefault="001D0F5E">
      <w:pPr>
        <w:pStyle w:val="BodyText"/>
      </w:pPr>
      <w:r>
        <w:t xml:space="preserve">Figure- Calculated </w:t>
      </w:r>
      <w:r>
        <w:t xml:space="preserve">live oyster density by periods 20 (Winter 2019-2020) and 22 (Winter 2020-2021) using a probability density function with the last sample date of period 22 as 2021-02-26. </w:t>
      </w:r>
    </w:p>
    <w:p w14:paraId="62326ED3" w14:textId="77777777" w:rsidR="004C7D1E" w:rsidRDefault="001D0F5E">
      <w:pPr>
        <w:pStyle w:val="BodyText"/>
      </w:pPr>
      <w:r>
        <w:rPr>
          <w:noProof/>
        </w:rPr>
        <w:lastRenderedPageBreak/>
        <w:drawing>
          <wp:inline distT="0" distB="0" distL="0" distR="0" wp14:anchorId="1C12D369" wp14:editId="1945134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unnamed-chunk-6-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20D55FDF" w14:textId="5660FF63" w:rsidR="008B0277" w:rsidRDefault="001D0F5E">
      <w:pPr>
        <w:pStyle w:val="BodyText"/>
      </w:pPr>
      <w:r>
        <w:t>Figure- Calculated dead oyster density by periods 20 (Winter 2019-2020) and 22 (Win</w:t>
      </w:r>
      <w:r>
        <w:t xml:space="preserve">ter 2020-2021) using a probability density function with the last sample date of period 22 as 2021-02-26. </w:t>
      </w:r>
    </w:p>
    <w:p w14:paraId="7F0A59B8" w14:textId="77777777" w:rsidR="004C7D1E" w:rsidRDefault="001D0F5E">
      <w:pPr>
        <w:pStyle w:val="BodyText"/>
      </w:pPr>
      <w:r>
        <w:rPr>
          <w:noProof/>
        </w:rPr>
        <w:lastRenderedPageBreak/>
        <w:drawing>
          <wp:inline distT="0" distB="0" distL="0" distR="0" wp14:anchorId="0A004942" wp14:editId="480715A2">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unnamed-chunk-7-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p w14:paraId="34CBA16A" w14:textId="43D28A24" w:rsidR="008B0277" w:rsidRDefault="001D0F5E">
      <w:pPr>
        <w:pStyle w:val="BodyText"/>
      </w:pPr>
      <w:r>
        <w:t xml:space="preserve">Figure- Live and dead oyster count comparison by periods 18 (Winter 2018- 2019), 20 (Winter 2019-2020) and 22 (Winter 2020-2021), last sample date </w:t>
      </w:r>
      <w:r>
        <w:t>of period 22 as 2021-02-26.</w:t>
      </w:r>
    </w:p>
    <w:p w14:paraId="4A756F08" w14:textId="77777777" w:rsidR="004C7D1E" w:rsidRDefault="001D0F5E">
      <w:pPr>
        <w:pStyle w:val="BodyText"/>
      </w:pPr>
      <w:r>
        <w:rPr>
          <w:noProof/>
        </w:rPr>
        <w:lastRenderedPageBreak/>
        <w:drawing>
          <wp:inline distT="0" distB="0" distL="0" distR="0" wp14:anchorId="52D5CB95" wp14:editId="6EEFE3E6">
            <wp:extent cx="5334000" cy="609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ransect_files/figure-docx/unnamed-chunk-8-1.png"/>
                    <pic:cNvPicPr>
                      <a:picLocks noChangeAspect="1" noChangeArrowheads="1"/>
                    </pic:cNvPicPr>
                  </pic:nvPicPr>
                  <pic:blipFill>
                    <a:blip r:embed="rId18"/>
                    <a:stretch>
                      <a:fillRect/>
                    </a:stretch>
                  </pic:blipFill>
                  <pic:spPr bwMode="auto">
                    <a:xfrm>
                      <a:off x="0" y="0"/>
                      <a:ext cx="5334000" cy="6096000"/>
                    </a:xfrm>
                    <a:prstGeom prst="rect">
                      <a:avLst/>
                    </a:prstGeom>
                    <a:noFill/>
                    <a:ln w="9525">
                      <a:noFill/>
                      <a:headEnd/>
                      <a:tailEnd/>
                    </a:ln>
                  </pic:spPr>
                </pic:pic>
              </a:graphicData>
            </a:graphic>
          </wp:inline>
        </w:drawing>
      </w:r>
      <w:r>
        <w:t xml:space="preserve"> </w:t>
      </w:r>
    </w:p>
    <w:p w14:paraId="02FC2A37" w14:textId="4B20F575" w:rsidR="008B0277" w:rsidRDefault="001D0F5E">
      <w:pPr>
        <w:pStyle w:val="BodyText"/>
      </w:pPr>
      <w:r>
        <w:t xml:space="preserve">Figure- Live and dead oyster comparison for all periods, last sample date of period 22 is 2021-02-26. </w:t>
      </w:r>
    </w:p>
    <w:sectPr w:rsidR="008B02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9BEE" w14:textId="77777777" w:rsidR="001D0F5E" w:rsidRDefault="001D0F5E">
      <w:pPr>
        <w:spacing w:after="0"/>
      </w:pPr>
      <w:r>
        <w:separator/>
      </w:r>
    </w:p>
  </w:endnote>
  <w:endnote w:type="continuationSeparator" w:id="0">
    <w:p w14:paraId="4BC6368B" w14:textId="77777777" w:rsidR="001D0F5E" w:rsidRDefault="001D0F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DBB4" w14:textId="77777777" w:rsidR="001D0F5E" w:rsidRDefault="001D0F5E">
      <w:r>
        <w:separator/>
      </w:r>
    </w:p>
  </w:footnote>
  <w:footnote w:type="continuationSeparator" w:id="0">
    <w:p w14:paraId="636B1AB3" w14:textId="77777777" w:rsidR="001D0F5E" w:rsidRDefault="001D0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70A03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YwMzYyMjI2NjY3NDVT0lEKTi0uzszPAykwrAUAigpmAiwAAAA="/>
  </w:docVars>
  <w:rsids>
    <w:rsidRoot w:val="00590D07"/>
    <w:rsid w:val="00011C8B"/>
    <w:rsid w:val="001D0F5E"/>
    <w:rsid w:val="004C7D1E"/>
    <w:rsid w:val="004E29B3"/>
    <w:rsid w:val="00590D07"/>
    <w:rsid w:val="00784D58"/>
    <w:rsid w:val="008B027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822C"/>
  <w15:docId w15:val="{88CEE5FC-B2A1-49F7-8B11-15C0A4B2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gplot2.tidyverse.org/reference/geom_density.html"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Transect Report</dc:title>
  <dc:creator/>
  <cp:keywords/>
  <cp:lastModifiedBy>Moreno,Melissa M</cp:lastModifiedBy>
  <cp:revision>2</cp:revision>
  <dcterms:created xsi:type="dcterms:W3CDTF">2021-04-16T16:12:00Z</dcterms:created>
  <dcterms:modified xsi:type="dcterms:W3CDTF">2021-04-16T16:15:00Z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