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28F7" w14:textId="6324CD61" w:rsidR="00A36A8A" w:rsidRDefault="00A36A8A">
      <w:pPr>
        <w:rPr>
          <w:noProof/>
        </w:rPr>
      </w:pPr>
      <w:r>
        <w:rPr>
          <w:noProof/>
        </w:rPr>
        <w:t>Appendix – Analysis of oyster count data through winter 2021-2022</w:t>
      </w:r>
    </w:p>
    <w:p w14:paraId="1D101507" w14:textId="77777777" w:rsidR="00A36A8A" w:rsidRDefault="00A36A8A">
      <w:pPr>
        <w:rPr>
          <w:noProof/>
        </w:rPr>
      </w:pPr>
    </w:p>
    <w:p w14:paraId="15F28414" w14:textId="6588E255" w:rsidR="00E33CE7" w:rsidRDefault="00A36A8A">
      <w:pPr>
        <w:rPr>
          <w:noProof/>
        </w:rPr>
      </w:pPr>
      <w:r>
        <w:rPr>
          <w:noProof/>
        </w:rPr>
        <w:t xml:space="preserve">Part 1. </w:t>
      </w:r>
      <w:r w:rsidR="009E10DA">
        <w:rPr>
          <w:noProof/>
        </w:rPr>
        <w:t>Analysis of the repeated measures</w:t>
      </w:r>
      <w:r w:rsidR="00726C97">
        <w:rPr>
          <w:noProof/>
        </w:rPr>
        <w:t xml:space="preserve"> sites</w:t>
      </w:r>
      <w:r w:rsidR="009E10DA">
        <w:rPr>
          <w:noProof/>
        </w:rPr>
        <w:t xml:space="preserve"> oyster live count data.</w:t>
      </w:r>
    </w:p>
    <w:p w14:paraId="46FCCEA6" w14:textId="77777777" w:rsidR="00CE6A12" w:rsidRPr="00CE6A12" w:rsidRDefault="008A2D8F" w:rsidP="00E07291">
      <w:pPr>
        <w:rPr>
          <w:i/>
          <w:iCs/>
        </w:rPr>
      </w:pPr>
      <w:r w:rsidRPr="00CE6A12">
        <w:rPr>
          <w:i/>
          <w:iCs/>
        </w:rPr>
        <w:t>Background</w:t>
      </w:r>
    </w:p>
    <w:p w14:paraId="00E1CBEE" w14:textId="25AF8966" w:rsidR="00190E06" w:rsidRDefault="00190E06" w:rsidP="00E07291">
      <w:r>
        <w:t>Four stations</w:t>
      </w:r>
      <w:r w:rsidR="008A2D8F">
        <w:t xml:space="preserve"> (</w:t>
      </w:r>
      <w:r w:rsidR="00515F18">
        <w:t xml:space="preserve">individual </w:t>
      </w:r>
      <w:r w:rsidR="008A2D8F">
        <w:t>reef elements</w:t>
      </w:r>
      <w:r w:rsidR="00515F18">
        <w:t xml:space="preserve"> in the Lone Cabbage reef chain; LCO9C, LCO10A, LCO11B, and LCO12 [Figure 1]</w:t>
      </w:r>
      <w:r w:rsidR="008A2D8F">
        <w:t>)</w:t>
      </w:r>
      <w:r>
        <w:t xml:space="preserve"> have been sampled repeatedly over time before and after </w:t>
      </w:r>
      <w:r w:rsidR="00300ACB">
        <w:t>reef restoration</w:t>
      </w:r>
      <w:r w:rsidR="00515F18">
        <w:t>.  This was done to provide insight into the response in oyster counts following the restoration action of placing limestone boulders on the degraded reef.  The prediction was that by placing durable substrate (limestone rock) Lone Cabbage reef would transition from an undesired, low oyster count reef to a more desired high oyster count reef.</w:t>
      </w:r>
      <w:r w:rsidR="00300ACB">
        <w:t xml:space="preserve"> </w:t>
      </w:r>
      <w:r w:rsidR="00A81723">
        <w:t xml:space="preserve"> Sampling these “repeated measures” sites provides insight into trends in oyster counts at these four locations only and does not compare these responses to unrestored oyster bars.  </w:t>
      </w:r>
      <w:r w:rsidR="007F4F91">
        <w:t>Three replicate transects have been sampled on each of these four stations</w:t>
      </w:r>
      <w:r w:rsidR="00382552">
        <w:t xml:space="preserve"> </w:t>
      </w:r>
      <w:r w:rsidR="00C16ED3">
        <w:t xml:space="preserve">in </w:t>
      </w:r>
      <w:r w:rsidR="00795811">
        <w:t>eight</w:t>
      </w:r>
      <w:r w:rsidR="00C16ED3">
        <w:t xml:space="preserve"> periods of time</w:t>
      </w:r>
      <w:r w:rsidR="00382552">
        <w:t xml:space="preserve"> (Summer 2013, Winter 2014-2015, Summer 2015, Winter 2017-2018, Winter 2018-2019, Winter 2019-2020, Winter 202</w:t>
      </w:r>
      <w:r w:rsidR="00795811">
        <w:t>0</w:t>
      </w:r>
      <w:r w:rsidR="00382552">
        <w:t>-202</w:t>
      </w:r>
      <w:r w:rsidR="00795811">
        <w:t>1, Winter 2021-2022</w:t>
      </w:r>
      <w:r w:rsidR="00382552">
        <w:t>)</w:t>
      </w:r>
      <w:r w:rsidR="00C16ED3">
        <w:t xml:space="preserve"> at the exact same transect location (to instrument precision).  </w:t>
      </w:r>
      <w:r w:rsidR="00795811">
        <w:t xml:space="preserve">This repeated sampling offers some statistical advantage in measuring a single treatment effect such as the addition of rock </w:t>
      </w:r>
      <w:r w:rsidR="002D3A47">
        <w:t>substrate</w:t>
      </w:r>
      <w:r w:rsidR="00795811">
        <w:t>.</w:t>
      </w:r>
    </w:p>
    <w:p w14:paraId="57FB50EA" w14:textId="5F5C0543" w:rsidR="00295980" w:rsidRDefault="00295980" w:rsidP="00E07291"/>
    <w:p w14:paraId="1FC1864E" w14:textId="77777777" w:rsidR="00295980" w:rsidRDefault="00295980" w:rsidP="00295980">
      <w:pPr>
        <w:keepNext/>
      </w:pPr>
      <w:r>
        <w:rPr>
          <w:noProof/>
        </w:rPr>
        <w:lastRenderedPageBreak/>
        <w:drawing>
          <wp:inline distT="0" distB="0" distL="0" distR="0" wp14:anchorId="354E5926" wp14:editId="248C9862">
            <wp:extent cx="6235777" cy="8069558"/>
            <wp:effectExtent l="0" t="0" r="0" b="825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9020" cy="8073755"/>
                    </a:xfrm>
                    <a:prstGeom prst="rect">
                      <a:avLst/>
                    </a:prstGeom>
                  </pic:spPr>
                </pic:pic>
              </a:graphicData>
            </a:graphic>
          </wp:inline>
        </w:drawing>
      </w:r>
    </w:p>
    <w:p w14:paraId="6842B687" w14:textId="4FC73476" w:rsidR="00295980" w:rsidRDefault="00295980" w:rsidP="00295980">
      <w:pPr>
        <w:pStyle w:val="Caption"/>
      </w:pPr>
      <w:r>
        <w:t xml:space="preserve">Figure </w:t>
      </w:r>
      <w:fldSimple w:instr=" SEQ Figure \* ARABIC ">
        <w:r w:rsidR="00CE5A93">
          <w:rPr>
            <w:noProof/>
          </w:rPr>
          <w:t>1</w:t>
        </w:r>
      </w:fldSimple>
      <w:r>
        <w:t xml:space="preserve">: Map of Lone Cabbage Reef </w:t>
      </w:r>
      <w:r w:rsidR="002D3A47">
        <w:t>in relation to the southeast US (inset map) and Suwannee Sound (larger map).  The reef in Suwannee Sound is indicated by black dots and the four stations used in the repeated measures analyses are in yellow</w:t>
      </w:r>
      <w:r>
        <w:t xml:space="preserve">. </w:t>
      </w:r>
    </w:p>
    <w:p w14:paraId="085D223B" w14:textId="77F6EA3A" w:rsidR="00075F9E" w:rsidRDefault="00075F9E" w:rsidP="00E07291"/>
    <w:p w14:paraId="54B6064C" w14:textId="0269979B" w:rsidR="0070155B" w:rsidRPr="0070155B" w:rsidRDefault="003A6EAD" w:rsidP="00E07291">
      <w:pPr>
        <w:rPr>
          <w:b/>
          <w:bCs/>
        </w:rPr>
      </w:pPr>
      <w:r>
        <w:rPr>
          <w:b/>
          <w:bCs/>
        </w:rPr>
        <w:lastRenderedPageBreak/>
        <w:t>Analysis – Three repeated transects per station</w:t>
      </w:r>
    </w:p>
    <w:p w14:paraId="5684A722" w14:textId="27E9C950" w:rsidR="00075F9E" w:rsidRDefault="00075F9E" w:rsidP="00E07291">
      <w:pPr>
        <w:rPr>
          <w:i/>
          <w:iCs/>
        </w:rPr>
      </w:pPr>
      <w:r>
        <w:rPr>
          <w:i/>
          <w:iCs/>
        </w:rPr>
        <w:t xml:space="preserve">Station-level </w:t>
      </w:r>
    </w:p>
    <w:p w14:paraId="5E416726" w14:textId="2C91D679" w:rsidR="007F4F91" w:rsidRDefault="007F4F91" w:rsidP="00E07291">
      <w:r>
        <w:t>We analyzed the data at the station</w:t>
      </w:r>
      <w:r w:rsidR="00E0612F">
        <w:t xml:space="preserve"> (individual reef element)</w:t>
      </w:r>
      <w:r>
        <w:t xml:space="preserve"> level using generalized linear models with a negative binomial distribution</w:t>
      </w:r>
      <w:r w:rsidR="00C16ED3">
        <w:t xml:space="preserve"> (Moore et al. 2020)</w:t>
      </w:r>
      <w:r>
        <w:t>.</w:t>
      </w:r>
      <w:r w:rsidR="00E0612F">
        <w:t xml:space="preserve">  For this repeated measures analyses we only use data from the three transect</w:t>
      </w:r>
      <w:r w:rsidR="00C16ED3">
        <w:t>s</w:t>
      </w:r>
      <w:r w:rsidR="00E0612F">
        <w:t xml:space="preserve"> per station that have been sampled in all periods.  These transects are fixed in space and the same transects have been repeated each year </w:t>
      </w:r>
      <w:r w:rsidR="00D6097F">
        <w:t>at the closest possible location based on available GPS instrument</w:t>
      </w:r>
      <w:r w:rsidR="00E0612F">
        <w:t>.  Because transect lengths differ between station (because the transects are the length of the station</w:t>
      </w:r>
      <w:r w:rsidR="00795811">
        <w:t>,</w:t>
      </w:r>
      <w:r w:rsidR="00E0612F">
        <w:t xml:space="preserve"> and stations vary in size) we include</w:t>
      </w:r>
      <w:r>
        <w:t xml:space="preserve"> transect length as an offset to account for difference in transect lengths between stations. Because our main question of interest is whether or not live oyster counts change over time, we </w:t>
      </w:r>
      <w:r w:rsidR="00B874F1">
        <w:t xml:space="preserve">first fit a </w:t>
      </w:r>
      <w:r>
        <w:t xml:space="preserve">simple model </w:t>
      </w:r>
      <w:r w:rsidR="00B874F1">
        <w:t xml:space="preserve">describing </w:t>
      </w:r>
      <w:r>
        <w:t>live oyster count as a function of time (</w:t>
      </w:r>
      <w:r w:rsidR="00795811">
        <w:t>P</w:t>
      </w:r>
      <w:r>
        <w:t xml:space="preserve">eriod). </w:t>
      </w:r>
      <w:r w:rsidR="00075175">
        <w:t>P</w:t>
      </w:r>
      <w:r w:rsidR="00B874F1">
        <w:t xml:space="preserve">revious </w:t>
      </w:r>
      <w:r>
        <w:t xml:space="preserve">analyses </w:t>
      </w:r>
      <w:r w:rsidR="00075175">
        <w:t>have shown</w:t>
      </w:r>
      <w:r>
        <w:t xml:space="preserve"> no significant differences</w:t>
      </w:r>
      <w:r w:rsidR="00B874F1">
        <w:t xml:space="preserve"> in live oyster counts</w:t>
      </w:r>
      <w:r>
        <w:t xml:space="preserve"> between stations</w:t>
      </w:r>
      <w:r w:rsidR="00075175">
        <w:t xml:space="preserve">, and this pattern continued for </w:t>
      </w:r>
      <w:r w:rsidR="00795811">
        <w:t>P</w:t>
      </w:r>
      <w:r w:rsidR="00075175">
        <w:t>eriod 24, so no random</w:t>
      </w:r>
      <w:r w:rsidR="00B874F1">
        <w:t xml:space="preserve"> effects were included</w:t>
      </w:r>
      <w:r>
        <w:t>.</w:t>
      </w:r>
    </w:p>
    <w:p w14:paraId="52881962" w14:textId="634203C3" w:rsidR="007F4F91" w:rsidRDefault="00075175" w:rsidP="00E07291">
      <w:r>
        <w:t>W</w:t>
      </w:r>
      <w:r w:rsidR="004F5D0F">
        <w:t>e found</w:t>
      </w:r>
      <w:r w:rsidR="00B874F1">
        <w:t xml:space="preserve"> a positive trend in live oyster counts over time, and on average live oyster counts increased from period 22 to period 24</w:t>
      </w:r>
      <w:r w:rsidR="007F605A">
        <w:t xml:space="preserve">. </w:t>
      </w:r>
      <w:r w:rsidR="00B874F1">
        <w:t>We found</w:t>
      </w:r>
      <w:r w:rsidR="007F605A">
        <w:t xml:space="preserve"> live oyster counts</w:t>
      </w:r>
      <w:r w:rsidR="00B874F1">
        <w:t xml:space="preserve"> during period 24</w:t>
      </w:r>
      <w:r w:rsidR="007F605A">
        <w:t xml:space="preserve"> are</w:t>
      </w:r>
      <w:r w:rsidR="00B874F1">
        <w:t xml:space="preserve"> the highest observed in the </w:t>
      </w:r>
      <w:r w:rsidR="00382552">
        <w:t>9</w:t>
      </w:r>
      <w:r w:rsidR="00B874F1">
        <w:t xml:space="preserve"> years of  monitoring on Lone Cabbage Reef</w:t>
      </w:r>
      <w:r w:rsidR="007F605A">
        <w:t xml:space="preserve">. </w:t>
      </w:r>
      <w:r w:rsidR="00B874F1">
        <w:t xml:space="preserve">Observed live </w:t>
      </w:r>
      <w:r w:rsidR="007F605A">
        <w:t xml:space="preserve">oyster counts were lowest in period 7 (Summer 2013) followed by period 16 (Winter 2017-2018), both before </w:t>
      </w:r>
      <w:r w:rsidR="00B17A59">
        <w:t>restoration</w:t>
      </w:r>
      <w:r w:rsidR="007F605A">
        <w:t>.</w:t>
      </w:r>
      <w:r w:rsidR="00B17A59">
        <w:t xml:space="preserve"> Period 17, the first sampling period post restoration, had an increase in live oyster counts compared to pre-restoration sampling, and this positive trend in oyster counts has continued each sampling period thereafter</w:t>
      </w:r>
      <w:r w:rsidR="007F605A">
        <w:t xml:space="preserve"> (period 18-24).</w:t>
      </w:r>
      <w:r>
        <w:t xml:space="preserve"> Log-transformed b</w:t>
      </w:r>
      <w:r w:rsidR="007F605A">
        <w:t>eta coefficients from this model are presented in Table 1</w:t>
      </w:r>
      <w:r w:rsidR="00B874F1">
        <w:t xml:space="preserve">.  </w:t>
      </w:r>
      <w:r w:rsidR="007F605A">
        <w:t>In order to interpret these values</w:t>
      </w:r>
      <w:r>
        <w:t xml:space="preserve"> as estimated numbers of oysters, the beta values</w:t>
      </w:r>
      <w:r w:rsidR="007F605A">
        <w:t xml:space="preserve"> must be backtransformed (i.e., for period 24 exp(3.4310) = 30.9). This</w:t>
      </w:r>
      <w:r>
        <w:t xml:space="preserve"> value </w:t>
      </w:r>
      <w:r w:rsidR="005B3C1F">
        <w:t>s</w:t>
      </w:r>
      <w:r>
        <w:t>uggests th</w:t>
      </w:r>
      <w:r w:rsidR="005B3C1F">
        <w:t>at</w:t>
      </w:r>
      <w:r>
        <w:t xml:space="preserve"> the</w:t>
      </w:r>
      <w:r w:rsidR="007F605A">
        <w:t xml:space="preserve"> live oyster count in period 24 per meter of transect is about 31</w:t>
      </w:r>
      <w:r w:rsidR="00B17A59">
        <w:t xml:space="preserve"> live oysters</w:t>
      </w:r>
      <w:r w:rsidR="007F605A">
        <w:t>.</w:t>
      </w:r>
      <w:r w:rsidR="001A7F6A">
        <w:t xml:space="preserve">  Because the transect is 1</w:t>
      </w:r>
      <w:r w:rsidR="005B3C1F">
        <w:t>5</w:t>
      </w:r>
      <w:r w:rsidR="001A7F6A">
        <w:t xml:space="preserve">-cm wide the average number of oysters is about </w:t>
      </w:r>
      <w:r w:rsidR="005B3C1F">
        <w:t>160</w:t>
      </w:r>
      <w:r w:rsidR="001A7F6A">
        <w:t xml:space="preserve"> per m</w:t>
      </w:r>
      <w:r w:rsidR="001A7F6A" w:rsidRPr="00382552">
        <w:rPr>
          <w:vertAlign w:val="superscript"/>
        </w:rPr>
        <w:t>2</w:t>
      </w:r>
      <w:r w:rsidR="001A7F6A">
        <w:t xml:space="preserve">.  As an example of model fit </w:t>
      </w:r>
      <w:r w:rsidR="007F605A">
        <w:t>Figure 2 shows the predicted live oyster count</w:t>
      </w:r>
      <w:r w:rsidR="001A7F6A">
        <w:t xml:space="preserve"> using this simple negative binomial GLM</w:t>
      </w:r>
      <w:r w:rsidR="007F605A">
        <w:t xml:space="preserve"> </w:t>
      </w:r>
      <w:r w:rsidR="001A7F6A">
        <w:t xml:space="preserve">per meter of transect </w:t>
      </w:r>
      <w:r w:rsidR="007F605A">
        <w:t xml:space="preserve">for each period (red dot) with 95% confidence intervals shown in red. The </w:t>
      </w:r>
      <w:r w:rsidR="001A7F6A">
        <w:t xml:space="preserve">observed </w:t>
      </w:r>
      <w:r w:rsidR="007F605A">
        <w:t>oyster counts for each station are shown in black. This plot shows the increase in predicted live oyster count over time</w:t>
      </w:r>
      <w:r w:rsidR="004130A6">
        <w:t>.  W</w:t>
      </w:r>
      <w:r w:rsidR="001A7F6A">
        <w:t>hile</w:t>
      </w:r>
      <w:r w:rsidR="007F605A">
        <w:t xml:space="preserve"> the 95% confidence interval</w:t>
      </w:r>
      <w:r w:rsidR="001A7F6A">
        <w:t xml:space="preserve">s on predicted oyster count per meter do overlap for </w:t>
      </w:r>
      <w:r w:rsidR="004130A6">
        <w:t>all post-</w:t>
      </w:r>
      <w:r w:rsidR="00600FAA">
        <w:t>restoration</w:t>
      </w:r>
      <w:r w:rsidR="001A7F6A">
        <w:t xml:space="preserve"> periods, the trajectory of the oyster counts is still positive across all periods post-restoration</w:t>
      </w:r>
      <w:r w:rsidR="007F605A">
        <w:t>.</w:t>
      </w:r>
    </w:p>
    <w:p w14:paraId="76E169DC" w14:textId="75F66871" w:rsidR="0074396B" w:rsidRDefault="0074396B" w:rsidP="0074396B">
      <w:pPr>
        <w:pStyle w:val="Caption"/>
        <w:keepNext/>
      </w:pPr>
      <w:r>
        <w:t xml:space="preserve">Table </w:t>
      </w:r>
      <w:fldSimple w:instr=" SEQ Table \* ARABIC ">
        <w:r w:rsidR="00CE5A93">
          <w:rPr>
            <w:noProof/>
          </w:rPr>
          <w:t>1</w:t>
        </w:r>
      </w:fldSimple>
      <w:r>
        <w:t xml:space="preserve">: Beta coefficients and standard errors for the top model (count_live ~ period + offset(tran_length)). Estimates are log-transformed. </w:t>
      </w:r>
    </w:p>
    <w:tbl>
      <w:tblPr>
        <w:tblStyle w:val="TableGrid"/>
        <w:tblW w:w="0" w:type="auto"/>
        <w:tblLook w:val="04A0" w:firstRow="1" w:lastRow="0" w:firstColumn="1" w:lastColumn="0" w:noHBand="0" w:noVBand="1"/>
      </w:tblPr>
      <w:tblGrid>
        <w:gridCol w:w="1165"/>
        <w:gridCol w:w="1890"/>
        <w:gridCol w:w="1890"/>
        <w:gridCol w:w="1620"/>
      </w:tblGrid>
      <w:tr w:rsidR="005E28B7" w14:paraId="09545D3B" w14:textId="77777777" w:rsidTr="00CA259A">
        <w:tc>
          <w:tcPr>
            <w:tcW w:w="1165" w:type="dxa"/>
          </w:tcPr>
          <w:p w14:paraId="65932578" w14:textId="5F582C9E" w:rsidR="005E28B7" w:rsidRDefault="005E28B7" w:rsidP="00E07291">
            <w:r>
              <w:t>Period</w:t>
            </w:r>
          </w:p>
        </w:tc>
        <w:tc>
          <w:tcPr>
            <w:tcW w:w="1890" w:type="dxa"/>
          </w:tcPr>
          <w:p w14:paraId="16AC1BE9" w14:textId="529EFF73" w:rsidR="005E28B7" w:rsidRDefault="005E28B7" w:rsidP="00E07291">
            <w:r>
              <w:t>Dates</w:t>
            </w:r>
          </w:p>
        </w:tc>
        <w:tc>
          <w:tcPr>
            <w:tcW w:w="1890" w:type="dxa"/>
          </w:tcPr>
          <w:p w14:paraId="591161B5" w14:textId="49F6A887" w:rsidR="005E28B7" w:rsidRDefault="005E28B7" w:rsidP="00E07291">
            <w:r>
              <w:t>Beta coefficient</w:t>
            </w:r>
          </w:p>
        </w:tc>
        <w:tc>
          <w:tcPr>
            <w:tcW w:w="1620" w:type="dxa"/>
          </w:tcPr>
          <w:p w14:paraId="0ADE32ED" w14:textId="0717F714" w:rsidR="005E28B7" w:rsidRDefault="005E28B7" w:rsidP="00E07291">
            <w:r>
              <w:t>Standard Error</w:t>
            </w:r>
          </w:p>
        </w:tc>
      </w:tr>
      <w:tr w:rsidR="005E28B7" w14:paraId="74E9514E" w14:textId="77777777" w:rsidTr="00CA259A">
        <w:tc>
          <w:tcPr>
            <w:tcW w:w="1165" w:type="dxa"/>
          </w:tcPr>
          <w:p w14:paraId="04895D94" w14:textId="5AC5F188" w:rsidR="005E28B7" w:rsidRDefault="005E28B7" w:rsidP="00E07291">
            <w:r>
              <w:t>7</w:t>
            </w:r>
          </w:p>
        </w:tc>
        <w:tc>
          <w:tcPr>
            <w:tcW w:w="1890" w:type="dxa"/>
          </w:tcPr>
          <w:p w14:paraId="1154B3BE" w14:textId="56FE94CA" w:rsidR="005E28B7" w:rsidRDefault="005E28B7" w:rsidP="00E07291">
            <w:r>
              <w:t>Summer 2013</w:t>
            </w:r>
          </w:p>
        </w:tc>
        <w:tc>
          <w:tcPr>
            <w:tcW w:w="1890" w:type="dxa"/>
          </w:tcPr>
          <w:p w14:paraId="24D7B2A3" w14:textId="63B77D74" w:rsidR="005E28B7" w:rsidRDefault="005E28B7" w:rsidP="00E07291">
            <w:r>
              <w:t>-0.3502</w:t>
            </w:r>
          </w:p>
        </w:tc>
        <w:tc>
          <w:tcPr>
            <w:tcW w:w="1620" w:type="dxa"/>
          </w:tcPr>
          <w:p w14:paraId="01ECCFB7" w14:textId="1FCC4F61" w:rsidR="005E28B7" w:rsidRDefault="005E28B7" w:rsidP="00E07291">
            <w:r>
              <w:t>0.3433</w:t>
            </w:r>
          </w:p>
        </w:tc>
      </w:tr>
      <w:tr w:rsidR="005E28B7" w14:paraId="5F367FEC" w14:textId="77777777" w:rsidTr="00CA259A">
        <w:tc>
          <w:tcPr>
            <w:tcW w:w="1165" w:type="dxa"/>
          </w:tcPr>
          <w:p w14:paraId="35E11586" w14:textId="4D6ADE3B" w:rsidR="005E28B7" w:rsidRDefault="005E28B7" w:rsidP="00E07291">
            <w:r>
              <w:t>10</w:t>
            </w:r>
          </w:p>
        </w:tc>
        <w:tc>
          <w:tcPr>
            <w:tcW w:w="1890" w:type="dxa"/>
          </w:tcPr>
          <w:p w14:paraId="498BE169" w14:textId="67913F85" w:rsidR="005E28B7" w:rsidRDefault="005E28B7" w:rsidP="00E07291">
            <w:r>
              <w:t>Winter 2014-2015</w:t>
            </w:r>
          </w:p>
        </w:tc>
        <w:tc>
          <w:tcPr>
            <w:tcW w:w="1890" w:type="dxa"/>
          </w:tcPr>
          <w:p w14:paraId="17038DB9" w14:textId="79804960" w:rsidR="005E28B7" w:rsidRDefault="005E28B7" w:rsidP="00E07291">
            <w:r>
              <w:t>2.6219</w:t>
            </w:r>
          </w:p>
        </w:tc>
        <w:tc>
          <w:tcPr>
            <w:tcW w:w="1620" w:type="dxa"/>
          </w:tcPr>
          <w:p w14:paraId="7E60B617" w14:textId="1890596D" w:rsidR="005E28B7" w:rsidRDefault="005E28B7" w:rsidP="00E07291">
            <w:r>
              <w:t>0.3358</w:t>
            </w:r>
          </w:p>
        </w:tc>
      </w:tr>
      <w:tr w:rsidR="005E28B7" w14:paraId="553B68BB" w14:textId="77777777" w:rsidTr="00CA259A">
        <w:tc>
          <w:tcPr>
            <w:tcW w:w="1165" w:type="dxa"/>
          </w:tcPr>
          <w:p w14:paraId="48D66C68" w14:textId="3206CA51" w:rsidR="005E28B7" w:rsidRDefault="005E28B7" w:rsidP="00E07291">
            <w:r>
              <w:t>11</w:t>
            </w:r>
          </w:p>
        </w:tc>
        <w:tc>
          <w:tcPr>
            <w:tcW w:w="1890" w:type="dxa"/>
          </w:tcPr>
          <w:p w14:paraId="137B780D" w14:textId="6C4AB319" w:rsidR="005E28B7" w:rsidRDefault="005E28B7" w:rsidP="00E07291">
            <w:r>
              <w:t>Summer 2015</w:t>
            </w:r>
          </w:p>
        </w:tc>
        <w:tc>
          <w:tcPr>
            <w:tcW w:w="1890" w:type="dxa"/>
          </w:tcPr>
          <w:p w14:paraId="6509AC4B" w14:textId="1653449A" w:rsidR="005E28B7" w:rsidRDefault="005E28B7" w:rsidP="00E07291">
            <w:r>
              <w:t>2.5320</w:t>
            </w:r>
          </w:p>
        </w:tc>
        <w:tc>
          <w:tcPr>
            <w:tcW w:w="1620" w:type="dxa"/>
          </w:tcPr>
          <w:p w14:paraId="3F23A345" w14:textId="6FD49490" w:rsidR="005E28B7" w:rsidRDefault="005E28B7" w:rsidP="00E07291">
            <w:r>
              <w:t>0.3359</w:t>
            </w:r>
          </w:p>
        </w:tc>
      </w:tr>
      <w:tr w:rsidR="005E28B7" w14:paraId="168BBC2A" w14:textId="77777777" w:rsidTr="00CA259A">
        <w:tc>
          <w:tcPr>
            <w:tcW w:w="1165" w:type="dxa"/>
          </w:tcPr>
          <w:p w14:paraId="632D9F87" w14:textId="299700B9" w:rsidR="005E28B7" w:rsidRDefault="005E28B7" w:rsidP="00E07291">
            <w:r>
              <w:t>16</w:t>
            </w:r>
          </w:p>
        </w:tc>
        <w:tc>
          <w:tcPr>
            <w:tcW w:w="1890" w:type="dxa"/>
          </w:tcPr>
          <w:p w14:paraId="1B1A9398" w14:textId="18890473" w:rsidR="005E28B7" w:rsidRDefault="005E28B7" w:rsidP="00E07291">
            <w:r>
              <w:t>Winter 2017-2018</w:t>
            </w:r>
          </w:p>
        </w:tc>
        <w:tc>
          <w:tcPr>
            <w:tcW w:w="1890" w:type="dxa"/>
          </w:tcPr>
          <w:p w14:paraId="684DF6D3" w14:textId="02B955BB" w:rsidR="005E28B7" w:rsidRDefault="005E28B7" w:rsidP="00E07291">
            <w:r>
              <w:t>0.9549</w:t>
            </w:r>
          </w:p>
        </w:tc>
        <w:tc>
          <w:tcPr>
            <w:tcW w:w="1620" w:type="dxa"/>
          </w:tcPr>
          <w:p w14:paraId="1202F55D" w14:textId="24048158" w:rsidR="005E28B7" w:rsidRDefault="005E28B7" w:rsidP="00E07291">
            <w:r>
              <w:t>0.3376</w:t>
            </w:r>
          </w:p>
        </w:tc>
      </w:tr>
      <w:tr w:rsidR="005E28B7" w14:paraId="6BB8BD1B" w14:textId="77777777" w:rsidTr="00CA259A">
        <w:tc>
          <w:tcPr>
            <w:tcW w:w="1165" w:type="dxa"/>
          </w:tcPr>
          <w:p w14:paraId="09BE66C3" w14:textId="1C1F7F3B" w:rsidR="005E28B7" w:rsidRDefault="005E28B7" w:rsidP="00E07291">
            <w:r>
              <w:t>18</w:t>
            </w:r>
          </w:p>
        </w:tc>
        <w:tc>
          <w:tcPr>
            <w:tcW w:w="1890" w:type="dxa"/>
          </w:tcPr>
          <w:p w14:paraId="5006C144" w14:textId="4BE0E880" w:rsidR="005E28B7" w:rsidRDefault="005E28B7" w:rsidP="00E07291">
            <w:r>
              <w:t>Winter 2018-2019</w:t>
            </w:r>
          </w:p>
        </w:tc>
        <w:tc>
          <w:tcPr>
            <w:tcW w:w="1890" w:type="dxa"/>
          </w:tcPr>
          <w:p w14:paraId="6878EF99" w14:textId="659CEB96" w:rsidR="005E28B7" w:rsidRDefault="005E28B7" w:rsidP="00E07291">
            <w:r>
              <w:t>2.2379</w:t>
            </w:r>
          </w:p>
        </w:tc>
        <w:tc>
          <w:tcPr>
            <w:tcW w:w="1620" w:type="dxa"/>
          </w:tcPr>
          <w:p w14:paraId="028CB998" w14:textId="6ED3155F" w:rsidR="005E28B7" w:rsidRDefault="005E28B7" w:rsidP="00E07291">
            <w:r>
              <w:t>0.3360</w:t>
            </w:r>
          </w:p>
        </w:tc>
      </w:tr>
      <w:tr w:rsidR="005E28B7" w14:paraId="40F3F0A7" w14:textId="77777777" w:rsidTr="00CA259A">
        <w:tc>
          <w:tcPr>
            <w:tcW w:w="1165" w:type="dxa"/>
          </w:tcPr>
          <w:p w14:paraId="293B9A31" w14:textId="3CDF7F97" w:rsidR="005E28B7" w:rsidRDefault="005E28B7" w:rsidP="00E07291">
            <w:r>
              <w:t>20</w:t>
            </w:r>
          </w:p>
        </w:tc>
        <w:tc>
          <w:tcPr>
            <w:tcW w:w="1890" w:type="dxa"/>
          </w:tcPr>
          <w:p w14:paraId="32110B47" w14:textId="77EBA780" w:rsidR="005E28B7" w:rsidRDefault="005E28B7" w:rsidP="00E07291">
            <w:r>
              <w:t>Winter 2019-2020</w:t>
            </w:r>
          </w:p>
        </w:tc>
        <w:tc>
          <w:tcPr>
            <w:tcW w:w="1890" w:type="dxa"/>
          </w:tcPr>
          <w:p w14:paraId="6E970B10" w14:textId="2E313D7F" w:rsidR="005E28B7" w:rsidRDefault="005E28B7" w:rsidP="00E07291">
            <w:r>
              <w:t>2.8344</w:t>
            </w:r>
          </w:p>
        </w:tc>
        <w:tc>
          <w:tcPr>
            <w:tcW w:w="1620" w:type="dxa"/>
          </w:tcPr>
          <w:p w14:paraId="339046AC" w14:textId="6B404DF1" w:rsidR="005E28B7" w:rsidRDefault="005E28B7" w:rsidP="00E07291">
            <w:r>
              <w:t>0.3358</w:t>
            </w:r>
          </w:p>
        </w:tc>
      </w:tr>
      <w:tr w:rsidR="005E28B7" w14:paraId="546A3F56" w14:textId="77777777" w:rsidTr="00CA259A">
        <w:tc>
          <w:tcPr>
            <w:tcW w:w="1165" w:type="dxa"/>
          </w:tcPr>
          <w:p w14:paraId="69640B09" w14:textId="48140AF5" w:rsidR="005E28B7" w:rsidRDefault="005E28B7" w:rsidP="00E07291">
            <w:r>
              <w:t>22</w:t>
            </w:r>
          </w:p>
        </w:tc>
        <w:tc>
          <w:tcPr>
            <w:tcW w:w="1890" w:type="dxa"/>
          </w:tcPr>
          <w:p w14:paraId="05F064BB" w14:textId="25B6BC77" w:rsidR="005E28B7" w:rsidRDefault="005E28B7" w:rsidP="00E07291">
            <w:r>
              <w:t>Winter 2020-2021</w:t>
            </w:r>
          </w:p>
        </w:tc>
        <w:tc>
          <w:tcPr>
            <w:tcW w:w="1890" w:type="dxa"/>
          </w:tcPr>
          <w:p w14:paraId="3E084657" w14:textId="52EA69F9" w:rsidR="005E28B7" w:rsidRDefault="005E28B7" w:rsidP="00E07291">
            <w:r>
              <w:t>3.0891</w:t>
            </w:r>
          </w:p>
        </w:tc>
        <w:tc>
          <w:tcPr>
            <w:tcW w:w="1620" w:type="dxa"/>
          </w:tcPr>
          <w:p w14:paraId="5E7F4AED" w14:textId="4266A7EC" w:rsidR="005E28B7" w:rsidRDefault="005E28B7" w:rsidP="00E07291">
            <w:r>
              <w:t>0.3357</w:t>
            </w:r>
          </w:p>
        </w:tc>
      </w:tr>
      <w:tr w:rsidR="005E28B7" w14:paraId="0F534A6B" w14:textId="77777777" w:rsidTr="00CA259A">
        <w:tc>
          <w:tcPr>
            <w:tcW w:w="1165" w:type="dxa"/>
          </w:tcPr>
          <w:p w14:paraId="42673578" w14:textId="76BE33E1" w:rsidR="005E28B7" w:rsidRDefault="005E28B7" w:rsidP="00E07291">
            <w:r>
              <w:t>24</w:t>
            </w:r>
          </w:p>
        </w:tc>
        <w:tc>
          <w:tcPr>
            <w:tcW w:w="1890" w:type="dxa"/>
          </w:tcPr>
          <w:p w14:paraId="426C3847" w14:textId="7388FBE9" w:rsidR="005E28B7" w:rsidRDefault="005E28B7" w:rsidP="00E07291">
            <w:r>
              <w:t>Winter 2021-2022</w:t>
            </w:r>
          </w:p>
        </w:tc>
        <w:tc>
          <w:tcPr>
            <w:tcW w:w="1890" w:type="dxa"/>
          </w:tcPr>
          <w:p w14:paraId="0C7B141D" w14:textId="7255034B" w:rsidR="005E28B7" w:rsidRDefault="005E28B7" w:rsidP="00E07291">
            <w:r>
              <w:t>3.4310</w:t>
            </w:r>
          </w:p>
        </w:tc>
        <w:tc>
          <w:tcPr>
            <w:tcW w:w="1620" w:type="dxa"/>
          </w:tcPr>
          <w:p w14:paraId="68BF5601" w14:textId="4F3C142F" w:rsidR="005E28B7" w:rsidRDefault="005E28B7" w:rsidP="00E07291">
            <w:r>
              <w:t>0.3356</w:t>
            </w:r>
          </w:p>
        </w:tc>
      </w:tr>
    </w:tbl>
    <w:p w14:paraId="79F650D4" w14:textId="77777777" w:rsidR="00163C9A" w:rsidRDefault="00163C9A" w:rsidP="00E07291"/>
    <w:p w14:paraId="0F7C2181" w14:textId="77777777" w:rsidR="005F7E4A" w:rsidRDefault="005F7E4A" w:rsidP="00E07291"/>
    <w:p w14:paraId="1FFCB949" w14:textId="392E1035" w:rsidR="0074396B" w:rsidRDefault="00925A7C" w:rsidP="0074396B">
      <w:pPr>
        <w:keepNext/>
      </w:pPr>
      <w:r>
        <w:rPr>
          <w:noProof/>
        </w:rPr>
        <w:lastRenderedPageBreak/>
        <w:drawing>
          <wp:inline distT="0" distB="0" distL="0" distR="0" wp14:anchorId="373087EA" wp14:editId="113AB81D">
            <wp:extent cx="5978692" cy="4301337"/>
            <wp:effectExtent l="0" t="0" r="3175" b="4445"/>
            <wp:docPr id="1" name="Picture 1"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 box and whisker chart&#10;&#10;Description automatically generated"/>
                    <pic:cNvPicPr/>
                  </pic:nvPicPr>
                  <pic:blipFill>
                    <a:blip r:embed="rId8"/>
                    <a:stretch>
                      <a:fillRect/>
                    </a:stretch>
                  </pic:blipFill>
                  <pic:spPr>
                    <a:xfrm>
                      <a:off x="0" y="0"/>
                      <a:ext cx="6008467" cy="4322758"/>
                    </a:xfrm>
                    <a:prstGeom prst="rect">
                      <a:avLst/>
                    </a:prstGeom>
                  </pic:spPr>
                </pic:pic>
              </a:graphicData>
            </a:graphic>
          </wp:inline>
        </w:drawing>
      </w:r>
    </w:p>
    <w:p w14:paraId="03A8F07C" w14:textId="7DD4A0C5" w:rsidR="00415E17" w:rsidRDefault="0074396B" w:rsidP="0074396B">
      <w:pPr>
        <w:pStyle w:val="Caption"/>
      </w:pPr>
      <w:r>
        <w:t xml:space="preserve">Figure </w:t>
      </w:r>
      <w:fldSimple w:instr=" SEQ Figure \* ARABIC ">
        <w:r w:rsidR="00CE5A93">
          <w:rPr>
            <w:noProof/>
          </w:rPr>
          <w:t>2</w:t>
        </w:r>
      </w:fldSimple>
      <w:r>
        <w:t>: Predicted live oyster counts with 95% confidence intervals from the top model (count_live ~ period + offset(tran_length))</w:t>
      </w:r>
      <w:r w:rsidR="002B13AB">
        <w:t xml:space="preserve"> using data aggregated across transects by station</w:t>
      </w:r>
      <w:r>
        <w:t>. The predictions are per meter of transect. The black dots are the observed</w:t>
      </w:r>
      <w:r w:rsidR="001A7F6A">
        <w:t xml:space="preserve"> oyster</w:t>
      </w:r>
      <w:r>
        <w:t xml:space="preserve"> counts for each of the </w:t>
      </w:r>
      <w:r w:rsidR="00726C97">
        <w:t>four</w:t>
      </w:r>
      <w:r>
        <w:t xml:space="preserve"> stations during each period. </w:t>
      </w:r>
      <w:r w:rsidR="002D3A47">
        <w:t>The vertical block dotted line is the period when the large restoration took place on Lone Cabbage Reef.</w:t>
      </w:r>
    </w:p>
    <w:p w14:paraId="79D52D33" w14:textId="0233E42F" w:rsidR="0074396B" w:rsidRDefault="0074396B" w:rsidP="0074396B"/>
    <w:p w14:paraId="1BC58CDC" w14:textId="048393EF" w:rsidR="0074396B" w:rsidRPr="002B13AB" w:rsidRDefault="002B13AB" w:rsidP="0074396B">
      <w:pPr>
        <w:rPr>
          <w:i/>
          <w:iCs/>
        </w:rPr>
      </w:pPr>
      <w:r>
        <w:rPr>
          <w:i/>
          <w:iCs/>
        </w:rPr>
        <w:t xml:space="preserve">Transect-level </w:t>
      </w:r>
    </w:p>
    <w:p w14:paraId="67BA82DA" w14:textId="29A0ED14" w:rsidR="002B13AB" w:rsidRDefault="0074396B" w:rsidP="0074396B">
      <w:r>
        <w:t xml:space="preserve">The same </w:t>
      </w:r>
      <w:r w:rsidR="000204B9">
        <w:t xml:space="preserve">models were also fit </w:t>
      </w:r>
      <w:r w:rsidR="001A7F6A">
        <w:t xml:space="preserve">to </w:t>
      </w:r>
      <w:r w:rsidR="000204B9">
        <w:t xml:space="preserve">data at the </w:t>
      </w:r>
      <w:r w:rsidR="001A7F6A">
        <w:t xml:space="preserve">individual </w:t>
      </w:r>
      <w:r w:rsidR="000204B9">
        <w:t>transect level</w:t>
      </w:r>
      <w:r>
        <w:t xml:space="preserve">. At </w:t>
      </w:r>
      <w:r w:rsidR="001A7F6A">
        <w:t xml:space="preserve">the transect </w:t>
      </w:r>
      <w:r w:rsidR="000204B9">
        <w:t>level, the available data are</w:t>
      </w:r>
      <w:r>
        <w:t xml:space="preserve"> counts for each of the </w:t>
      </w:r>
      <w:r w:rsidR="000204B9">
        <w:t xml:space="preserve">three </w:t>
      </w:r>
      <w:r>
        <w:t xml:space="preserve">transects for each of the </w:t>
      </w:r>
      <w:r w:rsidR="000204B9">
        <w:t xml:space="preserve">four </w:t>
      </w:r>
      <w:r>
        <w:t>station</w:t>
      </w:r>
      <w:r w:rsidR="000204B9">
        <w:t>s (reef elements)</w:t>
      </w:r>
      <w:r>
        <w:t xml:space="preserve"> during each period. </w:t>
      </w:r>
      <w:r w:rsidR="000A78C6">
        <w:t>Predicted live oyster counts from the</w:t>
      </w:r>
      <w:r w:rsidR="001A7F6A">
        <w:t xml:space="preserve"> simple negative binomial GLM fit to these transect level data are </w:t>
      </w:r>
      <w:r w:rsidR="00726C97">
        <w:t>like</w:t>
      </w:r>
      <w:r w:rsidR="000A78C6">
        <w:t xml:space="preserve"> the station-level analyses; however, the standard errors</w:t>
      </w:r>
      <w:r w:rsidR="001A7F6A">
        <w:t xml:space="preserve"> are smaller</w:t>
      </w:r>
      <w:r w:rsidR="005B3C1F">
        <w:t>,</w:t>
      </w:r>
      <w:r w:rsidR="001A7F6A">
        <w:t xml:space="preserve"> which results in narrower</w:t>
      </w:r>
      <w:r w:rsidR="000A78C6">
        <w:t xml:space="preserve"> 95% confidence int</w:t>
      </w:r>
      <w:r w:rsidR="001A7F6A">
        <w:t>e</w:t>
      </w:r>
      <w:r w:rsidR="000A78C6">
        <w:t xml:space="preserve">rvals. </w:t>
      </w:r>
      <w:r w:rsidR="002B13AB">
        <w:t xml:space="preserve">Figure </w:t>
      </w:r>
      <w:r w:rsidR="00295980">
        <w:t>3</w:t>
      </w:r>
      <w:r w:rsidR="002B13AB">
        <w:t xml:space="preserve"> provides the predicted live oyster counts with 95% confidence interval by period</w:t>
      </w:r>
      <w:r w:rsidR="001A7F6A">
        <w:t xml:space="preserve"> using the transect level data.  </w:t>
      </w:r>
    </w:p>
    <w:p w14:paraId="62E6F294" w14:textId="77777777" w:rsidR="002B13AB" w:rsidRDefault="002B13AB" w:rsidP="0074396B"/>
    <w:p w14:paraId="14E09C29" w14:textId="49202D01" w:rsidR="002B13AB" w:rsidRDefault="00925A7C" w:rsidP="002B13AB">
      <w:pPr>
        <w:keepNext/>
      </w:pPr>
      <w:r w:rsidRPr="00925A7C">
        <w:rPr>
          <w:noProof/>
        </w:rPr>
        <w:lastRenderedPageBreak/>
        <w:drawing>
          <wp:inline distT="0" distB="0" distL="0" distR="0" wp14:anchorId="726B6989" wp14:editId="2878A000">
            <wp:extent cx="6858000" cy="4933950"/>
            <wp:effectExtent l="0" t="0" r="0" b="0"/>
            <wp:docPr id="2" name="Picture 2"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ox and whisker chart&#10;&#10;Description automatically generated"/>
                    <pic:cNvPicPr/>
                  </pic:nvPicPr>
                  <pic:blipFill>
                    <a:blip r:embed="rId9"/>
                    <a:stretch>
                      <a:fillRect/>
                    </a:stretch>
                  </pic:blipFill>
                  <pic:spPr>
                    <a:xfrm>
                      <a:off x="0" y="0"/>
                      <a:ext cx="6858000" cy="4933950"/>
                    </a:xfrm>
                    <a:prstGeom prst="rect">
                      <a:avLst/>
                    </a:prstGeom>
                  </pic:spPr>
                </pic:pic>
              </a:graphicData>
            </a:graphic>
          </wp:inline>
        </w:drawing>
      </w:r>
    </w:p>
    <w:p w14:paraId="29BF75DA" w14:textId="47DF5A86" w:rsidR="002B13AB" w:rsidRDefault="002B13AB" w:rsidP="002B13AB">
      <w:pPr>
        <w:pStyle w:val="Caption"/>
      </w:pPr>
      <w:r>
        <w:t xml:space="preserve">Figure </w:t>
      </w:r>
      <w:fldSimple w:instr=" SEQ Figure \* ARABIC ">
        <w:r w:rsidR="00CE5A93">
          <w:rPr>
            <w:noProof/>
          </w:rPr>
          <w:t>3</w:t>
        </w:r>
      </w:fldSimple>
      <w:r>
        <w:t>: Predicted live oyster counts with 95% confidence intervals from the top model (count_live ~ period + offset(tran_length)) using data from each transect within each station. The predictions are per meter of transect. The black dots are the observed counts for each of the</w:t>
      </w:r>
      <w:r w:rsidR="00726C97">
        <w:t xml:space="preserve"> four</w:t>
      </w:r>
      <w:r>
        <w:t xml:space="preserve"> stations during each period. </w:t>
      </w:r>
      <w:r w:rsidR="002D3A47">
        <w:t>The vertical block dotted line is the period when the large restoration took place on Lone Cabbage Reef.</w:t>
      </w:r>
    </w:p>
    <w:p w14:paraId="07D3959C" w14:textId="609369C1" w:rsidR="002B13AB" w:rsidRDefault="002B13AB" w:rsidP="002B13AB">
      <w:pPr>
        <w:pStyle w:val="Caption"/>
      </w:pPr>
    </w:p>
    <w:p w14:paraId="712C75AE" w14:textId="37C30AB4" w:rsidR="003A6EAD" w:rsidRPr="00A36A8A" w:rsidRDefault="003A6EAD" w:rsidP="003A6EAD">
      <w:r w:rsidRPr="00A36A8A">
        <w:t>Analysis – All transects per station</w:t>
      </w:r>
    </w:p>
    <w:p w14:paraId="507E5B27" w14:textId="7D1CAAE0" w:rsidR="00D84173" w:rsidRPr="00D84173" w:rsidRDefault="00D84173" w:rsidP="003A6EAD">
      <w:pPr>
        <w:rPr>
          <w:i/>
          <w:iCs/>
        </w:rPr>
      </w:pPr>
      <w:r w:rsidRPr="00D84173">
        <w:rPr>
          <w:i/>
          <w:iCs/>
        </w:rPr>
        <w:t>Station-level</w:t>
      </w:r>
    </w:p>
    <w:p w14:paraId="48C2CAA6" w14:textId="2B832ACD" w:rsidR="004C25CF" w:rsidRDefault="005F043F" w:rsidP="003A6EAD">
      <w:r>
        <w:t xml:space="preserve">The repeated measures analyses above is based on oyster counts from the exact same </w:t>
      </w:r>
      <w:r w:rsidR="00500BBB">
        <w:t>three</w:t>
      </w:r>
      <w:r>
        <w:t xml:space="preserve"> transects that have been conducted on each reef</w:t>
      </w:r>
      <w:r w:rsidR="00500BBB">
        <w:t xml:space="preserve"> element (station)</w:t>
      </w:r>
      <w:r>
        <w:t xml:space="preserve">.  However, at these same </w:t>
      </w:r>
      <w:r w:rsidR="00982F2D">
        <w:t>reef elements</w:t>
      </w:r>
      <w:r>
        <w:t xml:space="preserve"> a</w:t>
      </w:r>
      <w:r w:rsidR="004C25CF">
        <w:t xml:space="preserve">dditional transects were </w:t>
      </w:r>
      <w:r w:rsidR="00982F2D">
        <w:t xml:space="preserve">also </w:t>
      </w:r>
      <w:r w:rsidR="004C25CF">
        <w:t>sampled each year at</w:t>
      </w:r>
      <w:r w:rsidR="00982F2D">
        <w:t xml:space="preserve"> varying locations along the reef. For these additional transects, the location along the reefs varied each year as well as the number of additional transects.</w:t>
      </w:r>
      <w:r>
        <w:t xml:space="preserve">  This results in a variable number of transect </w:t>
      </w:r>
      <w:r w:rsidR="00982F2D">
        <w:t>sampled</w:t>
      </w:r>
      <w:r>
        <w:t xml:space="preserve"> at these stations over time.  T</w:t>
      </w:r>
      <w:r w:rsidR="004C25CF">
        <w:t xml:space="preserve">hese additional transects provide information about live oyster counts across the stations as a whole. </w:t>
      </w:r>
      <w:r>
        <w:t xml:space="preserve">We fit the same basic negative binomial GLM to all transects from these stations across periods. </w:t>
      </w:r>
      <w:r w:rsidR="004C25CF">
        <w:t xml:space="preserve">Overall, the results were similar showing an increase in predicted live oyster counts </w:t>
      </w:r>
      <w:r>
        <w:t>post-restoration</w:t>
      </w:r>
      <w:r w:rsidR="004C25CF">
        <w:t>. However, when all transects are included there is little difference between period 20 and 22, but the</w:t>
      </w:r>
      <w:r>
        <w:t xml:space="preserve">re is an observed increase in live oyster counts through </w:t>
      </w:r>
      <w:r w:rsidR="004C25CF">
        <w:t>period 24</w:t>
      </w:r>
      <w:r>
        <w:t xml:space="preserve"> (Figure 4)</w:t>
      </w:r>
      <w:r w:rsidR="004130A6">
        <w:t>,</w:t>
      </w:r>
      <w:r>
        <w:t xml:space="preserve"> but confidence intervals do overlap for periods 20, 22, and 24</w:t>
      </w:r>
      <w:r w:rsidR="004C25CF">
        <w:t>. Beta coefficients from this model are included in Table 2 and predicted estimates in Figure 4. These coefficients and results can be interpreted the same as above.</w:t>
      </w:r>
    </w:p>
    <w:p w14:paraId="69D08B16" w14:textId="0074B8B1" w:rsidR="004C25CF" w:rsidRDefault="004C25CF" w:rsidP="003A6EAD"/>
    <w:p w14:paraId="19E9D624" w14:textId="32AC5AC6" w:rsidR="004C25CF" w:rsidRDefault="004C25CF" w:rsidP="004C25CF">
      <w:pPr>
        <w:pStyle w:val="Caption"/>
        <w:keepNext/>
      </w:pPr>
      <w:r>
        <w:lastRenderedPageBreak/>
        <w:t xml:space="preserve">Table 2: Beta coefficients and standard errors for the top model (count_live ~ period + offset(tran_length)). Estimates are log-transformed. </w:t>
      </w:r>
    </w:p>
    <w:tbl>
      <w:tblPr>
        <w:tblStyle w:val="TableGrid"/>
        <w:tblW w:w="0" w:type="auto"/>
        <w:tblLook w:val="04A0" w:firstRow="1" w:lastRow="0" w:firstColumn="1" w:lastColumn="0" w:noHBand="0" w:noVBand="1"/>
      </w:tblPr>
      <w:tblGrid>
        <w:gridCol w:w="1165"/>
        <w:gridCol w:w="1890"/>
        <w:gridCol w:w="1890"/>
        <w:gridCol w:w="1620"/>
      </w:tblGrid>
      <w:tr w:rsidR="00982F2D" w14:paraId="7E88C12A" w14:textId="77777777" w:rsidTr="00A97C7B">
        <w:tc>
          <w:tcPr>
            <w:tcW w:w="1165" w:type="dxa"/>
          </w:tcPr>
          <w:p w14:paraId="3AC8ECFF" w14:textId="77777777" w:rsidR="00982F2D" w:rsidRDefault="00982F2D" w:rsidP="00982F2D">
            <w:r>
              <w:t>Period</w:t>
            </w:r>
          </w:p>
        </w:tc>
        <w:tc>
          <w:tcPr>
            <w:tcW w:w="1890" w:type="dxa"/>
          </w:tcPr>
          <w:p w14:paraId="001D1FE2" w14:textId="2CC9E68D" w:rsidR="00982F2D" w:rsidRDefault="00982F2D" w:rsidP="00982F2D">
            <w:r>
              <w:t>Dates</w:t>
            </w:r>
          </w:p>
        </w:tc>
        <w:tc>
          <w:tcPr>
            <w:tcW w:w="1890" w:type="dxa"/>
          </w:tcPr>
          <w:p w14:paraId="4938C086" w14:textId="13862256" w:rsidR="00982F2D" w:rsidRDefault="00982F2D" w:rsidP="00982F2D">
            <w:r>
              <w:t>Beta coefficient</w:t>
            </w:r>
          </w:p>
        </w:tc>
        <w:tc>
          <w:tcPr>
            <w:tcW w:w="1620" w:type="dxa"/>
          </w:tcPr>
          <w:p w14:paraId="213EBA96" w14:textId="77777777" w:rsidR="00982F2D" w:rsidRDefault="00982F2D" w:rsidP="00982F2D">
            <w:r>
              <w:t>Standard Error</w:t>
            </w:r>
          </w:p>
        </w:tc>
      </w:tr>
      <w:tr w:rsidR="00982F2D" w14:paraId="74D019D9" w14:textId="77777777" w:rsidTr="00A97C7B">
        <w:tc>
          <w:tcPr>
            <w:tcW w:w="1165" w:type="dxa"/>
          </w:tcPr>
          <w:p w14:paraId="5F675CB2" w14:textId="77777777" w:rsidR="00982F2D" w:rsidRDefault="00982F2D" w:rsidP="00982F2D">
            <w:r>
              <w:t>7</w:t>
            </w:r>
          </w:p>
        </w:tc>
        <w:tc>
          <w:tcPr>
            <w:tcW w:w="1890" w:type="dxa"/>
          </w:tcPr>
          <w:p w14:paraId="197CC429" w14:textId="589E88B0" w:rsidR="00982F2D" w:rsidRDefault="00982F2D" w:rsidP="00982F2D">
            <w:r>
              <w:t>Summer 2013</w:t>
            </w:r>
          </w:p>
        </w:tc>
        <w:tc>
          <w:tcPr>
            <w:tcW w:w="1890" w:type="dxa"/>
          </w:tcPr>
          <w:p w14:paraId="1B5BFCFF" w14:textId="7B3C1C54" w:rsidR="00982F2D" w:rsidRDefault="00982F2D" w:rsidP="00982F2D">
            <w:r>
              <w:t>-0.3502</w:t>
            </w:r>
          </w:p>
        </w:tc>
        <w:tc>
          <w:tcPr>
            <w:tcW w:w="1620" w:type="dxa"/>
          </w:tcPr>
          <w:p w14:paraId="33057E6E" w14:textId="03BB9DEE" w:rsidR="00982F2D" w:rsidRDefault="00982F2D" w:rsidP="00982F2D">
            <w:r>
              <w:t>0.3339</w:t>
            </w:r>
          </w:p>
        </w:tc>
      </w:tr>
      <w:tr w:rsidR="00982F2D" w14:paraId="25377C57" w14:textId="77777777" w:rsidTr="00A97C7B">
        <w:tc>
          <w:tcPr>
            <w:tcW w:w="1165" w:type="dxa"/>
          </w:tcPr>
          <w:p w14:paraId="6E7C9C81" w14:textId="77777777" w:rsidR="00982F2D" w:rsidRDefault="00982F2D" w:rsidP="00982F2D">
            <w:r>
              <w:t>10</w:t>
            </w:r>
          </w:p>
        </w:tc>
        <w:tc>
          <w:tcPr>
            <w:tcW w:w="1890" w:type="dxa"/>
          </w:tcPr>
          <w:p w14:paraId="1BCC863C" w14:textId="54EE9D21" w:rsidR="00982F2D" w:rsidRDefault="00982F2D" w:rsidP="00982F2D">
            <w:r>
              <w:t>Winter 2014-2015</w:t>
            </w:r>
          </w:p>
        </w:tc>
        <w:tc>
          <w:tcPr>
            <w:tcW w:w="1890" w:type="dxa"/>
          </w:tcPr>
          <w:p w14:paraId="3D8CF8AD" w14:textId="4603451C" w:rsidR="00982F2D" w:rsidRDefault="00982F2D" w:rsidP="00982F2D">
            <w:r>
              <w:t>2.6219</w:t>
            </w:r>
          </w:p>
        </w:tc>
        <w:tc>
          <w:tcPr>
            <w:tcW w:w="1620" w:type="dxa"/>
          </w:tcPr>
          <w:p w14:paraId="642CC968" w14:textId="34D9BEDF" w:rsidR="00982F2D" w:rsidRDefault="00982F2D" w:rsidP="00982F2D">
            <w:r>
              <w:t>0.3262</w:t>
            </w:r>
          </w:p>
        </w:tc>
      </w:tr>
      <w:tr w:rsidR="00982F2D" w14:paraId="489D2496" w14:textId="77777777" w:rsidTr="00A97C7B">
        <w:tc>
          <w:tcPr>
            <w:tcW w:w="1165" w:type="dxa"/>
          </w:tcPr>
          <w:p w14:paraId="5CA9DC1D" w14:textId="77777777" w:rsidR="00982F2D" w:rsidRDefault="00982F2D" w:rsidP="00982F2D">
            <w:r>
              <w:t>11</w:t>
            </w:r>
          </w:p>
        </w:tc>
        <w:tc>
          <w:tcPr>
            <w:tcW w:w="1890" w:type="dxa"/>
          </w:tcPr>
          <w:p w14:paraId="7779C9D2" w14:textId="610EE8FB" w:rsidR="00982F2D" w:rsidRDefault="00982F2D" w:rsidP="00982F2D">
            <w:r>
              <w:t>Summer 2015</w:t>
            </w:r>
          </w:p>
        </w:tc>
        <w:tc>
          <w:tcPr>
            <w:tcW w:w="1890" w:type="dxa"/>
          </w:tcPr>
          <w:p w14:paraId="7B6E1B73" w14:textId="5837CEDA" w:rsidR="00982F2D" w:rsidRDefault="00982F2D" w:rsidP="00982F2D">
            <w:r>
              <w:t>2.5320</w:t>
            </w:r>
          </w:p>
        </w:tc>
        <w:tc>
          <w:tcPr>
            <w:tcW w:w="1620" w:type="dxa"/>
          </w:tcPr>
          <w:p w14:paraId="4A1FFF97" w14:textId="0630845B" w:rsidR="00982F2D" w:rsidRDefault="00982F2D" w:rsidP="00982F2D">
            <w:r>
              <w:t>0.3262</w:t>
            </w:r>
          </w:p>
        </w:tc>
      </w:tr>
      <w:tr w:rsidR="00982F2D" w14:paraId="409990F7" w14:textId="77777777" w:rsidTr="00A97C7B">
        <w:tc>
          <w:tcPr>
            <w:tcW w:w="1165" w:type="dxa"/>
          </w:tcPr>
          <w:p w14:paraId="4F917B70" w14:textId="77777777" w:rsidR="00982F2D" w:rsidRDefault="00982F2D" w:rsidP="00982F2D">
            <w:r>
              <w:t>16</w:t>
            </w:r>
          </w:p>
        </w:tc>
        <w:tc>
          <w:tcPr>
            <w:tcW w:w="1890" w:type="dxa"/>
          </w:tcPr>
          <w:p w14:paraId="43C1D505" w14:textId="140CD7E7" w:rsidR="00982F2D" w:rsidRDefault="00982F2D" w:rsidP="00982F2D">
            <w:r>
              <w:t>Winter 2017-2018</w:t>
            </w:r>
          </w:p>
        </w:tc>
        <w:tc>
          <w:tcPr>
            <w:tcW w:w="1890" w:type="dxa"/>
          </w:tcPr>
          <w:p w14:paraId="1B395593" w14:textId="670B051E" w:rsidR="00982F2D" w:rsidRDefault="00982F2D" w:rsidP="00982F2D">
            <w:r>
              <w:t>0.9549</w:t>
            </w:r>
          </w:p>
        </w:tc>
        <w:tc>
          <w:tcPr>
            <w:tcW w:w="1620" w:type="dxa"/>
          </w:tcPr>
          <w:p w14:paraId="0194B2BC" w14:textId="7644FCD9" w:rsidR="00982F2D" w:rsidRDefault="00982F2D" w:rsidP="00982F2D">
            <w:r>
              <w:t>0.3280</w:t>
            </w:r>
          </w:p>
        </w:tc>
      </w:tr>
      <w:tr w:rsidR="00982F2D" w14:paraId="3442801E" w14:textId="77777777" w:rsidTr="00A97C7B">
        <w:tc>
          <w:tcPr>
            <w:tcW w:w="1165" w:type="dxa"/>
          </w:tcPr>
          <w:p w14:paraId="5E5B3630" w14:textId="77777777" w:rsidR="00982F2D" w:rsidRDefault="00982F2D" w:rsidP="00982F2D">
            <w:r>
              <w:t>18</w:t>
            </w:r>
          </w:p>
        </w:tc>
        <w:tc>
          <w:tcPr>
            <w:tcW w:w="1890" w:type="dxa"/>
          </w:tcPr>
          <w:p w14:paraId="2BE4B4B7" w14:textId="4BC36FEA" w:rsidR="00982F2D" w:rsidRDefault="00982F2D" w:rsidP="00982F2D">
            <w:r>
              <w:t>Winter 2018-2019</w:t>
            </w:r>
          </w:p>
        </w:tc>
        <w:tc>
          <w:tcPr>
            <w:tcW w:w="1890" w:type="dxa"/>
          </w:tcPr>
          <w:p w14:paraId="6C3AA84D" w14:textId="4CDD5B4B" w:rsidR="00982F2D" w:rsidRDefault="00982F2D" w:rsidP="00982F2D">
            <w:r>
              <w:t>2.0813</w:t>
            </w:r>
          </w:p>
        </w:tc>
        <w:tc>
          <w:tcPr>
            <w:tcW w:w="1620" w:type="dxa"/>
          </w:tcPr>
          <w:p w14:paraId="21577C26" w14:textId="7FECB3FC" w:rsidR="00982F2D" w:rsidRDefault="00982F2D" w:rsidP="00982F2D">
            <w:r>
              <w:t>0.3262</w:t>
            </w:r>
          </w:p>
        </w:tc>
      </w:tr>
      <w:tr w:rsidR="00982F2D" w14:paraId="33903569" w14:textId="77777777" w:rsidTr="00A97C7B">
        <w:tc>
          <w:tcPr>
            <w:tcW w:w="1165" w:type="dxa"/>
          </w:tcPr>
          <w:p w14:paraId="7639CF38" w14:textId="77777777" w:rsidR="00982F2D" w:rsidRDefault="00982F2D" w:rsidP="00982F2D">
            <w:r>
              <w:t>20</w:t>
            </w:r>
          </w:p>
        </w:tc>
        <w:tc>
          <w:tcPr>
            <w:tcW w:w="1890" w:type="dxa"/>
          </w:tcPr>
          <w:p w14:paraId="0AAB8A78" w14:textId="23A94A49" w:rsidR="00982F2D" w:rsidRDefault="00982F2D" w:rsidP="00982F2D">
            <w:r>
              <w:t>Winter 2019-2020</w:t>
            </w:r>
          </w:p>
        </w:tc>
        <w:tc>
          <w:tcPr>
            <w:tcW w:w="1890" w:type="dxa"/>
          </w:tcPr>
          <w:p w14:paraId="22CF8CC2" w14:textId="2FC03C7A" w:rsidR="00982F2D" w:rsidRDefault="00982F2D" w:rsidP="00982F2D">
            <w:r>
              <w:t>3.1169</w:t>
            </w:r>
          </w:p>
        </w:tc>
        <w:tc>
          <w:tcPr>
            <w:tcW w:w="1620" w:type="dxa"/>
          </w:tcPr>
          <w:p w14:paraId="0F57BA3B" w14:textId="62A9BFB3" w:rsidR="00982F2D" w:rsidRDefault="00982F2D" w:rsidP="00982F2D">
            <w:r>
              <w:t>0.3259</w:t>
            </w:r>
          </w:p>
        </w:tc>
      </w:tr>
      <w:tr w:rsidR="00982F2D" w14:paraId="15B0C196" w14:textId="77777777" w:rsidTr="00A97C7B">
        <w:tc>
          <w:tcPr>
            <w:tcW w:w="1165" w:type="dxa"/>
          </w:tcPr>
          <w:p w14:paraId="3E5DDE07" w14:textId="77777777" w:rsidR="00982F2D" w:rsidRDefault="00982F2D" w:rsidP="00982F2D">
            <w:r>
              <w:t>22</w:t>
            </w:r>
          </w:p>
        </w:tc>
        <w:tc>
          <w:tcPr>
            <w:tcW w:w="1890" w:type="dxa"/>
          </w:tcPr>
          <w:p w14:paraId="00E85862" w14:textId="3093AA09" w:rsidR="00982F2D" w:rsidRDefault="00982F2D" w:rsidP="00982F2D">
            <w:r>
              <w:t>Winter 2020-2021</w:t>
            </w:r>
          </w:p>
        </w:tc>
        <w:tc>
          <w:tcPr>
            <w:tcW w:w="1890" w:type="dxa"/>
          </w:tcPr>
          <w:p w14:paraId="321B8710" w14:textId="42646FAC" w:rsidR="00982F2D" w:rsidRDefault="00982F2D" w:rsidP="00982F2D">
            <w:r>
              <w:t>3.1203</w:t>
            </w:r>
          </w:p>
        </w:tc>
        <w:tc>
          <w:tcPr>
            <w:tcW w:w="1620" w:type="dxa"/>
          </w:tcPr>
          <w:p w14:paraId="65194674" w14:textId="34E0FEE9" w:rsidR="00982F2D" w:rsidRDefault="00982F2D" w:rsidP="00982F2D">
            <w:r>
              <w:t>0.3258</w:t>
            </w:r>
          </w:p>
        </w:tc>
      </w:tr>
      <w:tr w:rsidR="00982F2D" w14:paraId="56BC12D9" w14:textId="77777777" w:rsidTr="00A97C7B">
        <w:tc>
          <w:tcPr>
            <w:tcW w:w="1165" w:type="dxa"/>
          </w:tcPr>
          <w:p w14:paraId="38FF4B1E" w14:textId="77777777" w:rsidR="00982F2D" w:rsidRDefault="00982F2D" w:rsidP="00982F2D">
            <w:r>
              <w:t>24</w:t>
            </w:r>
          </w:p>
        </w:tc>
        <w:tc>
          <w:tcPr>
            <w:tcW w:w="1890" w:type="dxa"/>
          </w:tcPr>
          <w:p w14:paraId="6E36479F" w14:textId="2BEEFB1B" w:rsidR="00982F2D" w:rsidRDefault="00982F2D" w:rsidP="00982F2D">
            <w:r>
              <w:t>Winter 2021-2022</w:t>
            </w:r>
          </w:p>
        </w:tc>
        <w:tc>
          <w:tcPr>
            <w:tcW w:w="1890" w:type="dxa"/>
          </w:tcPr>
          <w:p w14:paraId="34F19D82" w14:textId="49372547" w:rsidR="00982F2D" w:rsidRDefault="00982F2D" w:rsidP="00982F2D">
            <w:r>
              <w:t>3.5020</w:t>
            </w:r>
          </w:p>
        </w:tc>
        <w:tc>
          <w:tcPr>
            <w:tcW w:w="1620" w:type="dxa"/>
          </w:tcPr>
          <w:p w14:paraId="34345560" w14:textId="07A09D66" w:rsidR="00982F2D" w:rsidRDefault="00982F2D" w:rsidP="00982F2D">
            <w:r>
              <w:t>0.3259</w:t>
            </w:r>
          </w:p>
        </w:tc>
      </w:tr>
    </w:tbl>
    <w:p w14:paraId="082BF9E9" w14:textId="77777777" w:rsidR="004C25CF" w:rsidRDefault="004C25CF" w:rsidP="004C25CF"/>
    <w:p w14:paraId="18DE0EC8" w14:textId="77777777" w:rsidR="004C25CF" w:rsidRPr="004C25CF" w:rsidRDefault="004C25CF" w:rsidP="003A6EAD"/>
    <w:p w14:paraId="0863F372" w14:textId="2887444A" w:rsidR="004C25CF" w:rsidRDefault="00925A7C" w:rsidP="004C25CF">
      <w:pPr>
        <w:keepNext/>
      </w:pPr>
      <w:r w:rsidRPr="00925A7C">
        <w:rPr>
          <w:noProof/>
        </w:rPr>
        <w:drawing>
          <wp:inline distT="0" distB="0" distL="0" distR="0" wp14:anchorId="6853924A" wp14:editId="0C03A831">
            <wp:extent cx="6858000" cy="493395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stretch>
                      <a:fillRect/>
                    </a:stretch>
                  </pic:blipFill>
                  <pic:spPr>
                    <a:xfrm>
                      <a:off x="0" y="0"/>
                      <a:ext cx="6858000" cy="4933950"/>
                    </a:xfrm>
                    <a:prstGeom prst="rect">
                      <a:avLst/>
                    </a:prstGeom>
                  </pic:spPr>
                </pic:pic>
              </a:graphicData>
            </a:graphic>
          </wp:inline>
        </w:drawing>
      </w:r>
    </w:p>
    <w:p w14:paraId="45561C1F" w14:textId="693BA1B7" w:rsidR="00CE6A12" w:rsidRDefault="004C25CF" w:rsidP="004C25CF">
      <w:pPr>
        <w:pStyle w:val="Caption"/>
      </w:pPr>
      <w:r>
        <w:t xml:space="preserve">Figure </w:t>
      </w:r>
      <w:fldSimple w:instr=" SEQ Figure \* ARABIC ">
        <w:r w:rsidR="00CE5A93">
          <w:rPr>
            <w:noProof/>
          </w:rPr>
          <w:t>4</w:t>
        </w:r>
      </w:fldSimple>
      <w:r>
        <w:t xml:space="preserve">: Predicted live oyster counts with 95% confidence intervals from the top model (count_live ~ period + offset(tran_length)) using data aggregated across transects by station. The predictions are per meter of transect. The black dots are the observed counts for each of the </w:t>
      </w:r>
      <w:r w:rsidR="00726C97">
        <w:t>four</w:t>
      </w:r>
      <w:r>
        <w:t xml:space="preserve"> stations during each period.</w:t>
      </w:r>
      <w:r w:rsidR="002D3A47">
        <w:t xml:space="preserve"> The vertical block dotted line is the period when the large restoration took place on Lone Cabbage Reef.</w:t>
      </w:r>
    </w:p>
    <w:p w14:paraId="0F357921" w14:textId="77777777" w:rsidR="00D84173" w:rsidRPr="002B13AB" w:rsidRDefault="00D84173" w:rsidP="00D84173">
      <w:pPr>
        <w:rPr>
          <w:i/>
          <w:iCs/>
        </w:rPr>
      </w:pPr>
      <w:r>
        <w:rPr>
          <w:i/>
          <w:iCs/>
        </w:rPr>
        <w:t xml:space="preserve">Transect-level </w:t>
      </w:r>
    </w:p>
    <w:p w14:paraId="05BCF02B" w14:textId="71703FBE" w:rsidR="00D84173" w:rsidRDefault="00D84173" w:rsidP="00D84173">
      <w:r>
        <w:t>Again using all of the transects sampled across the four repeated measure station, the same model</w:t>
      </w:r>
      <w:r w:rsidR="008A70A5">
        <w:t xml:space="preserve"> was</w:t>
      </w:r>
      <w:r>
        <w:t xml:space="preserve"> fit to the data at the transect level. </w:t>
      </w:r>
      <w:r w:rsidR="008A70A5">
        <w:t xml:space="preserve">At the transect level the predicted live oyster counts remain at the highest level for period 24, but a </w:t>
      </w:r>
      <w:r w:rsidR="008A70A5">
        <w:lastRenderedPageBreak/>
        <w:t xml:space="preserve">decline in live oyster counts is predicted between periods 20 and 22.  Precision of predicted counts is highest for these results because of the larger number of observations included in the prediction.  Overall data fit to this model again </w:t>
      </w:r>
      <w:r w:rsidR="005B3C1F">
        <w:t>suggests</w:t>
      </w:r>
      <w:r w:rsidR="008A70A5">
        <w:t xml:space="preserve"> an overall positive trend in live oyster counts since reef construction</w:t>
      </w:r>
      <w:r w:rsidR="00726C97">
        <w:t xml:space="preserve"> for these sites</w:t>
      </w:r>
      <w:r w:rsidR="00DC2A71">
        <w:t xml:space="preserve">. </w:t>
      </w:r>
    </w:p>
    <w:p w14:paraId="445BD61D" w14:textId="77777777" w:rsidR="00D84173" w:rsidRDefault="00D84173" w:rsidP="00D84173"/>
    <w:p w14:paraId="5EDA4E13" w14:textId="4E6693D1" w:rsidR="00D84173" w:rsidRDefault="00925A7C" w:rsidP="00D84173">
      <w:pPr>
        <w:keepNext/>
      </w:pPr>
      <w:r w:rsidRPr="00925A7C">
        <w:rPr>
          <w:noProof/>
        </w:rPr>
        <w:drawing>
          <wp:inline distT="0" distB="0" distL="0" distR="0" wp14:anchorId="50418A13" wp14:editId="7732DBAB">
            <wp:extent cx="6858000" cy="4933950"/>
            <wp:effectExtent l="0" t="0" r="0" b="0"/>
            <wp:docPr id="8" name="Picture 8"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 box and whisker chart&#10;&#10;Description automatically generated"/>
                    <pic:cNvPicPr/>
                  </pic:nvPicPr>
                  <pic:blipFill>
                    <a:blip r:embed="rId11"/>
                    <a:stretch>
                      <a:fillRect/>
                    </a:stretch>
                  </pic:blipFill>
                  <pic:spPr>
                    <a:xfrm>
                      <a:off x="0" y="0"/>
                      <a:ext cx="6858000" cy="4933950"/>
                    </a:xfrm>
                    <a:prstGeom prst="rect">
                      <a:avLst/>
                    </a:prstGeom>
                  </pic:spPr>
                </pic:pic>
              </a:graphicData>
            </a:graphic>
          </wp:inline>
        </w:drawing>
      </w:r>
    </w:p>
    <w:p w14:paraId="527936BB" w14:textId="20F72A16" w:rsidR="00D84173" w:rsidRDefault="00D84173" w:rsidP="00D84173">
      <w:pPr>
        <w:pStyle w:val="Caption"/>
      </w:pPr>
      <w:r>
        <w:t xml:space="preserve">Figure </w:t>
      </w:r>
      <w:fldSimple w:instr=" SEQ Figure \* ARABIC ">
        <w:r w:rsidR="00CE5A93">
          <w:rPr>
            <w:noProof/>
          </w:rPr>
          <w:t>5</w:t>
        </w:r>
      </w:fldSimple>
      <w:r>
        <w:t xml:space="preserve">: Predicted live oyster counts with 95% confidence intervals from the top model (count_live ~ period + offset(tran_length)) using data from each transect within each station. The predictions are per meter of transect. The black dots are the observed counts for each of the </w:t>
      </w:r>
      <w:r w:rsidR="00726C97">
        <w:t>four</w:t>
      </w:r>
      <w:r>
        <w:t xml:space="preserve"> stations during each period.</w:t>
      </w:r>
      <w:r w:rsidR="002D3A47">
        <w:t xml:space="preserve"> The vertical block dotted line is the period when the large restoration took place on Lone Cabbage Reef.</w:t>
      </w:r>
    </w:p>
    <w:p w14:paraId="7AC5ED0C" w14:textId="3B36F2C7" w:rsidR="008A70A5" w:rsidRDefault="008A70A5" w:rsidP="008A70A5"/>
    <w:p w14:paraId="2A71F650" w14:textId="77777777" w:rsidR="00A36A8A" w:rsidRDefault="00A36A8A" w:rsidP="00A36A8A">
      <w:pPr>
        <w:spacing w:after="0"/>
        <w:rPr>
          <w:i/>
          <w:iCs/>
        </w:rPr>
      </w:pPr>
    </w:p>
    <w:p w14:paraId="1F2620BA" w14:textId="77777777" w:rsidR="00A36A8A" w:rsidRDefault="00A36A8A" w:rsidP="00A36A8A">
      <w:pPr>
        <w:spacing w:after="0"/>
        <w:rPr>
          <w:i/>
          <w:iCs/>
        </w:rPr>
      </w:pPr>
    </w:p>
    <w:p w14:paraId="7BF04537" w14:textId="77777777" w:rsidR="00A36A8A" w:rsidRDefault="00A36A8A" w:rsidP="00A36A8A">
      <w:pPr>
        <w:spacing w:after="0"/>
        <w:rPr>
          <w:i/>
          <w:iCs/>
        </w:rPr>
      </w:pPr>
    </w:p>
    <w:p w14:paraId="4412ACCA" w14:textId="77777777" w:rsidR="00A36A8A" w:rsidRDefault="00A36A8A" w:rsidP="00A36A8A">
      <w:pPr>
        <w:spacing w:after="0"/>
        <w:rPr>
          <w:i/>
          <w:iCs/>
        </w:rPr>
      </w:pPr>
    </w:p>
    <w:p w14:paraId="7154BBFD" w14:textId="77777777" w:rsidR="00A36A8A" w:rsidRDefault="00A36A8A" w:rsidP="00A36A8A">
      <w:pPr>
        <w:spacing w:after="0"/>
        <w:rPr>
          <w:i/>
          <w:iCs/>
        </w:rPr>
      </w:pPr>
    </w:p>
    <w:p w14:paraId="155013D8" w14:textId="77777777" w:rsidR="00A36A8A" w:rsidRDefault="00A36A8A" w:rsidP="00A36A8A">
      <w:pPr>
        <w:spacing w:after="0"/>
        <w:rPr>
          <w:i/>
          <w:iCs/>
        </w:rPr>
      </w:pPr>
    </w:p>
    <w:p w14:paraId="360F9EA4" w14:textId="77777777" w:rsidR="00A36A8A" w:rsidRDefault="00A36A8A" w:rsidP="00A36A8A">
      <w:pPr>
        <w:spacing w:after="0"/>
        <w:rPr>
          <w:i/>
          <w:iCs/>
        </w:rPr>
      </w:pPr>
    </w:p>
    <w:p w14:paraId="61C3E1EE" w14:textId="77777777" w:rsidR="00A36A8A" w:rsidRDefault="00A36A8A" w:rsidP="00A36A8A">
      <w:pPr>
        <w:spacing w:after="0"/>
        <w:rPr>
          <w:i/>
          <w:iCs/>
        </w:rPr>
      </w:pPr>
    </w:p>
    <w:p w14:paraId="70020414" w14:textId="77777777" w:rsidR="00A36A8A" w:rsidRDefault="00A36A8A" w:rsidP="00A36A8A">
      <w:pPr>
        <w:spacing w:after="0"/>
        <w:rPr>
          <w:i/>
          <w:iCs/>
        </w:rPr>
      </w:pPr>
    </w:p>
    <w:p w14:paraId="39CA7A58" w14:textId="77777777" w:rsidR="00A36A8A" w:rsidRDefault="00A36A8A" w:rsidP="00A36A8A">
      <w:pPr>
        <w:spacing w:after="0"/>
        <w:rPr>
          <w:i/>
          <w:iCs/>
        </w:rPr>
      </w:pPr>
    </w:p>
    <w:p w14:paraId="3339836A" w14:textId="3CF73DC9" w:rsidR="00A36A8A" w:rsidRDefault="00A36A8A" w:rsidP="00A36A8A">
      <w:pPr>
        <w:spacing w:after="0"/>
        <w:rPr>
          <w:i/>
          <w:iCs/>
        </w:rPr>
      </w:pPr>
      <w:r>
        <w:rPr>
          <w:i/>
          <w:iCs/>
        </w:rPr>
        <w:lastRenderedPageBreak/>
        <w:t>Part 2</w:t>
      </w:r>
    </w:p>
    <w:p w14:paraId="2303B27F" w14:textId="77777777" w:rsidR="00A36A8A" w:rsidRDefault="00A36A8A" w:rsidP="00A36A8A">
      <w:pPr>
        <w:spacing w:after="0"/>
        <w:rPr>
          <w:i/>
          <w:iCs/>
        </w:rPr>
      </w:pPr>
    </w:p>
    <w:p w14:paraId="1E8E5FC9" w14:textId="40735153" w:rsidR="00A36A8A" w:rsidRDefault="00A36A8A" w:rsidP="00A36A8A">
      <w:pPr>
        <w:spacing w:after="0"/>
        <w:rPr>
          <w:i/>
          <w:iCs/>
        </w:rPr>
      </w:pPr>
      <w:r>
        <w:rPr>
          <w:i/>
          <w:iCs/>
        </w:rPr>
        <w:t>Assessing trends in oyster counts on restored and unrestored reefs in Suwannee Sound</w:t>
      </w:r>
    </w:p>
    <w:p w14:paraId="56FD7544" w14:textId="77777777" w:rsidR="00A36A8A" w:rsidRPr="003D4B07" w:rsidRDefault="00A36A8A" w:rsidP="00A36A8A">
      <w:pPr>
        <w:spacing w:after="0"/>
        <w:rPr>
          <w:i/>
          <w:iCs/>
        </w:rPr>
      </w:pPr>
    </w:p>
    <w:p w14:paraId="548883F9" w14:textId="77777777" w:rsidR="00A36A8A" w:rsidRDefault="00A36A8A" w:rsidP="00A36A8A">
      <w:pPr>
        <w:spacing w:after="0"/>
      </w:pPr>
      <w:r>
        <w:t xml:space="preserve">We analysed available oyster count data from all Lone Cabbage stations (restored and unrestored reefs) by fitting generalized linear models with a negative binomial distribution to these data (see details in Moore et al. 2020).  Models described specific hypotheses through combinations of parameters including Period (a measure of time), Strata (open or closed to fishing + restored or unrestored site), and latent effects of commercial fishery trips and landings or river discharge influenced counts. Because transects varied in length across the study area, we used the natural log of transect length as an offset in all models to account for differences in sampling area.  </w:t>
      </w:r>
    </w:p>
    <w:p w14:paraId="143BD23C" w14:textId="77777777" w:rsidR="00A36A8A" w:rsidRDefault="00A36A8A" w:rsidP="00A36A8A">
      <w:pPr>
        <w:spacing w:after="0"/>
      </w:pPr>
    </w:p>
    <w:p w14:paraId="55FCF50D" w14:textId="77777777" w:rsidR="00A36A8A" w:rsidRDefault="00A36A8A" w:rsidP="00A36A8A">
      <w:pPr>
        <w:spacing w:after="0"/>
      </w:pPr>
      <w:r>
        <w:t xml:space="preserve">We first predicted live oyster counts, excluding covariates, to understand whether live oyster counts varied over Period (as a measure of time), restored/non-restored (whether sites where counts were completed had been restored or not), fishing/non-fishing (whether sites were open to commercial fishing or not) or strata (combination of restored and fishing). Based on AIC there is no strongly weighted model (Table 1) suggesting that all candidate models fit the observed count data equally.  </w:t>
      </w:r>
    </w:p>
    <w:p w14:paraId="6451E8D5" w14:textId="77777777" w:rsidR="00A36A8A" w:rsidRDefault="00A36A8A" w:rsidP="00A36A8A">
      <w:pPr>
        <w:spacing w:after="0"/>
      </w:pPr>
    </w:p>
    <w:p w14:paraId="355E2FE9" w14:textId="05A34089" w:rsidR="00A36A8A" w:rsidRDefault="00A36A8A" w:rsidP="00A36A8A">
      <w:pPr>
        <w:pStyle w:val="Caption"/>
        <w:keepNext/>
      </w:pPr>
      <w:r>
        <w:t xml:space="preserve">Table </w:t>
      </w:r>
      <w:r>
        <w:fldChar w:fldCharType="begin"/>
      </w:r>
      <w:r>
        <w:instrText xml:space="preserve"> SEQ Table \* ARABIC </w:instrText>
      </w:r>
      <w:r>
        <w:fldChar w:fldCharType="separate"/>
      </w:r>
      <w:r w:rsidR="00CE5A93">
        <w:rPr>
          <w:noProof/>
        </w:rPr>
        <w:t>2</w:t>
      </w:r>
      <w:r>
        <w:rPr>
          <w:noProof/>
        </w:rPr>
        <w:fldChar w:fldCharType="end"/>
      </w:r>
      <w:r>
        <w:t xml:space="preserve">: Model selection table. </w:t>
      </w:r>
    </w:p>
    <w:tbl>
      <w:tblPr>
        <w:tblStyle w:val="TableGrid"/>
        <w:tblW w:w="0" w:type="auto"/>
        <w:tblLook w:val="04A0" w:firstRow="1" w:lastRow="0" w:firstColumn="1" w:lastColumn="0" w:noHBand="0" w:noVBand="1"/>
      </w:tblPr>
      <w:tblGrid>
        <w:gridCol w:w="1460"/>
        <w:gridCol w:w="520"/>
        <w:gridCol w:w="1060"/>
        <w:gridCol w:w="1120"/>
        <w:gridCol w:w="1060"/>
        <w:gridCol w:w="1020"/>
        <w:gridCol w:w="1120"/>
      </w:tblGrid>
      <w:tr w:rsidR="00A36A8A" w:rsidRPr="00930676" w14:paraId="49D3F10A" w14:textId="77777777" w:rsidTr="00865ADC">
        <w:trPr>
          <w:trHeight w:val="300"/>
        </w:trPr>
        <w:tc>
          <w:tcPr>
            <w:tcW w:w="1460" w:type="dxa"/>
            <w:noWrap/>
            <w:hideMark/>
          </w:tcPr>
          <w:p w14:paraId="7960D322" w14:textId="77777777" w:rsidR="00A36A8A" w:rsidRPr="00930676" w:rsidRDefault="00A36A8A" w:rsidP="00865ADC">
            <w:r w:rsidRPr="00930676">
              <w:t>Model</w:t>
            </w:r>
          </w:p>
        </w:tc>
        <w:tc>
          <w:tcPr>
            <w:tcW w:w="520" w:type="dxa"/>
            <w:noWrap/>
            <w:hideMark/>
          </w:tcPr>
          <w:p w14:paraId="1290C939" w14:textId="77777777" w:rsidR="00A36A8A" w:rsidRPr="00930676" w:rsidRDefault="00A36A8A" w:rsidP="00865ADC">
            <w:r w:rsidRPr="00930676">
              <w:t>K</w:t>
            </w:r>
          </w:p>
        </w:tc>
        <w:tc>
          <w:tcPr>
            <w:tcW w:w="1060" w:type="dxa"/>
            <w:noWrap/>
            <w:hideMark/>
          </w:tcPr>
          <w:p w14:paraId="57844B93" w14:textId="77777777" w:rsidR="00A36A8A" w:rsidRPr="00930676" w:rsidRDefault="00A36A8A" w:rsidP="00865ADC">
            <w:r w:rsidRPr="00930676">
              <w:t>AIC</w:t>
            </w:r>
          </w:p>
        </w:tc>
        <w:tc>
          <w:tcPr>
            <w:tcW w:w="1120" w:type="dxa"/>
            <w:noWrap/>
            <w:hideMark/>
          </w:tcPr>
          <w:p w14:paraId="09542544" w14:textId="77777777" w:rsidR="00A36A8A" w:rsidRPr="00930676" w:rsidRDefault="00A36A8A" w:rsidP="00865ADC">
            <w:r w:rsidRPr="00930676">
              <w:t>Delta_AIC</w:t>
            </w:r>
          </w:p>
        </w:tc>
        <w:tc>
          <w:tcPr>
            <w:tcW w:w="1060" w:type="dxa"/>
            <w:noWrap/>
            <w:hideMark/>
          </w:tcPr>
          <w:p w14:paraId="7C265387" w14:textId="77777777" w:rsidR="00A36A8A" w:rsidRPr="00930676" w:rsidRDefault="00A36A8A" w:rsidP="00865ADC">
            <w:r w:rsidRPr="00930676">
              <w:t>AICWt</w:t>
            </w:r>
          </w:p>
        </w:tc>
        <w:tc>
          <w:tcPr>
            <w:tcW w:w="1020" w:type="dxa"/>
            <w:noWrap/>
            <w:hideMark/>
          </w:tcPr>
          <w:p w14:paraId="655F5A3A" w14:textId="77777777" w:rsidR="00A36A8A" w:rsidRPr="00930676" w:rsidRDefault="00A36A8A" w:rsidP="00865ADC">
            <w:r w:rsidRPr="00930676">
              <w:t>Cum.Wt</w:t>
            </w:r>
          </w:p>
        </w:tc>
        <w:tc>
          <w:tcPr>
            <w:tcW w:w="1120" w:type="dxa"/>
            <w:noWrap/>
            <w:hideMark/>
          </w:tcPr>
          <w:p w14:paraId="16154A66" w14:textId="77777777" w:rsidR="00A36A8A" w:rsidRPr="00930676" w:rsidRDefault="00A36A8A" w:rsidP="00865ADC">
            <w:r w:rsidRPr="00930676">
              <w:t>LL</w:t>
            </w:r>
          </w:p>
        </w:tc>
      </w:tr>
      <w:tr w:rsidR="00A36A8A" w:rsidRPr="00930676" w14:paraId="76F63004" w14:textId="77777777" w:rsidTr="00865ADC">
        <w:trPr>
          <w:trHeight w:val="300"/>
        </w:trPr>
        <w:tc>
          <w:tcPr>
            <w:tcW w:w="1460" w:type="dxa"/>
            <w:noWrap/>
            <w:hideMark/>
          </w:tcPr>
          <w:p w14:paraId="62D2D922" w14:textId="77777777" w:rsidR="00A36A8A" w:rsidRPr="00930676" w:rsidRDefault="00A36A8A" w:rsidP="00865ADC">
            <w:r w:rsidRPr="00930676">
              <w:t>period * fish</w:t>
            </w:r>
          </w:p>
        </w:tc>
        <w:tc>
          <w:tcPr>
            <w:tcW w:w="520" w:type="dxa"/>
            <w:noWrap/>
            <w:hideMark/>
          </w:tcPr>
          <w:p w14:paraId="4DE0D8A6" w14:textId="77777777" w:rsidR="00A36A8A" w:rsidRPr="00930676" w:rsidRDefault="00A36A8A" w:rsidP="00865ADC">
            <w:r w:rsidRPr="00930676">
              <w:t>5</w:t>
            </w:r>
          </w:p>
        </w:tc>
        <w:tc>
          <w:tcPr>
            <w:tcW w:w="1060" w:type="dxa"/>
            <w:noWrap/>
            <w:hideMark/>
          </w:tcPr>
          <w:p w14:paraId="45E43657" w14:textId="77777777" w:rsidR="00A36A8A" w:rsidRPr="00930676" w:rsidRDefault="00A36A8A" w:rsidP="00865ADC">
            <w:r w:rsidRPr="00930676">
              <w:t>3880.62</w:t>
            </w:r>
          </w:p>
        </w:tc>
        <w:tc>
          <w:tcPr>
            <w:tcW w:w="1120" w:type="dxa"/>
            <w:noWrap/>
            <w:hideMark/>
          </w:tcPr>
          <w:p w14:paraId="5F057FDF" w14:textId="77777777" w:rsidR="00A36A8A" w:rsidRPr="00930676" w:rsidRDefault="00A36A8A" w:rsidP="00865ADC">
            <w:r w:rsidRPr="00930676">
              <w:t>0</w:t>
            </w:r>
          </w:p>
        </w:tc>
        <w:tc>
          <w:tcPr>
            <w:tcW w:w="1060" w:type="dxa"/>
            <w:noWrap/>
            <w:hideMark/>
          </w:tcPr>
          <w:p w14:paraId="710766CD" w14:textId="77777777" w:rsidR="00A36A8A" w:rsidRPr="00930676" w:rsidRDefault="00A36A8A" w:rsidP="00865ADC">
            <w:r w:rsidRPr="00930676">
              <w:t>0.24</w:t>
            </w:r>
          </w:p>
        </w:tc>
        <w:tc>
          <w:tcPr>
            <w:tcW w:w="1020" w:type="dxa"/>
            <w:noWrap/>
            <w:hideMark/>
          </w:tcPr>
          <w:p w14:paraId="43FFA9AE" w14:textId="77777777" w:rsidR="00A36A8A" w:rsidRPr="00930676" w:rsidRDefault="00A36A8A" w:rsidP="00865ADC">
            <w:r w:rsidRPr="00930676">
              <w:t>0.24</w:t>
            </w:r>
          </w:p>
        </w:tc>
        <w:tc>
          <w:tcPr>
            <w:tcW w:w="1120" w:type="dxa"/>
            <w:noWrap/>
            <w:hideMark/>
          </w:tcPr>
          <w:p w14:paraId="421D3E92" w14:textId="77777777" w:rsidR="00A36A8A" w:rsidRPr="00930676" w:rsidRDefault="00A36A8A" w:rsidP="00865ADC">
            <w:r w:rsidRPr="00930676">
              <w:t>-1935.31</w:t>
            </w:r>
          </w:p>
        </w:tc>
      </w:tr>
      <w:tr w:rsidR="00A36A8A" w:rsidRPr="00930676" w14:paraId="64521171" w14:textId="77777777" w:rsidTr="00865ADC">
        <w:trPr>
          <w:trHeight w:val="300"/>
        </w:trPr>
        <w:tc>
          <w:tcPr>
            <w:tcW w:w="1460" w:type="dxa"/>
            <w:noWrap/>
            <w:hideMark/>
          </w:tcPr>
          <w:p w14:paraId="5D9D0682" w14:textId="77777777" w:rsidR="00A36A8A" w:rsidRPr="00930676" w:rsidRDefault="00A36A8A" w:rsidP="00865ADC">
            <w:r w:rsidRPr="00930676">
              <w:t>period + fish</w:t>
            </w:r>
          </w:p>
        </w:tc>
        <w:tc>
          <w:tcPr>
            <w:tcW w:w="520" w:type="dxa"/>
            <w:noWrap/>
            <w:hideMark/>
          </w:tcPr>
          <w:p w14:paraId="6C0F8935" w14:textId="77777777" w:rsidR="00A36A8A" w:rsidRPr="00930676" w:rsidRDefault="00A36A8A" w:rsidP="00865ADC">
            <w:r w:rsidRPr="00930676">
              <w:t>4</w:t>
            </w:r>
          </w:p>
        </w:tc>
        <w:tc>
          <w:tcPr>
            <w:tcW w:w="1060" w:type="dxa"/>
            <w:noWrap/>
            <w:hideMark/>
          </w:tcPr>
          <w:p w14:paraId="2B0FAA3F" w14:textId="77777777" w:rsidR="00A36A8A" w:rsidRPr="00930676" w:rsidRDefault="00A36A8A" w:rsidP="00865ADC">
            <w:r w:rsidRPr="00930676">
              <w:t>3880.92</w:t>
            </w:r>
          </w:p>
        </w:tc>
        <w:tc>
          <w:tcPr>
            <w:tcW w:w="1120" w:type="dxa"/>
            <w:noWrap/>
            <w:hideMark/>
          </w:tcPr>
          <w:p w14:paraId="1302ED42" w14:textId="77777777" w:rsidR="00A36A8A" w:rsidRPr="00930676" w:rsidRDefault="00A36A8A" w:rsidP="00865ADC">
            <w:r w:rsidRPr="00930676">
              <w:t>0.3</w:t>
            </w:r>
          </w:p>
        </w:tc>
        <w:tc>
          <w:tcPr>
            <w:tcW w:w="1060" w:type="dxa"/>
            <w:noWrap/>
            <w:hideMark/>
          </w:tcPr>
          <w:p w14:paraId="7254C38E" w14:textId="77777777" w:rsidR="00A36A8A" w:rsidRPr="00930676" w:rsidRDefault="00A36A8A" w:rsidP="00865ADC">
            <w:r w:rsidRPr="00930676">
              <w:t>0.21</w:t>
            </w:r>
          </w:p>
        </w:tc>
        <w:tc>
          <w:tcPr>
            <w:tcW w:w="1020" w:type="dxa"/>
            <w:noWrap/>
            <w:hideMark/>
          </w:tcPr>
          <w:p w14:paraId="38DF22D6" w14:textId="77777777" w:rsidR="00A36A8A" w:rsidRPr="00930676" w:rsidRDefault="00A36A8A" w:rsidP="00865ADC">
            <w:r w:rsidRPr="00930676">
              <w:t>0.45</w:t>
            </w:r>
          </w:p>
        </w:tc>
        <w:tc>
          <w:tcPr>
            <w:tcW w:w="1120" w:type="dxa"/>
            <w:noWrap/>
            <w:hideMark/>
          </w:tcPr>
          <w:p w14:paraId="63483625" w14:textId="77777777" w:rsidR="00A36A8A" w:rsidRPr="00930676" w:rsidRDefault="00A36A8A" w:rsidP="00865ADC">
            <w:r w:rsidRPr="00930676">
              <w:t>-1936.46</w:t>
            </w:r>
          </w:p>
        </w:tc>
      </w:tr>
      <w:tr w:rsidR="00A36A8A" w:rsidRPr="00930676" w14:paraId="17A4F3D0" w14:textId="77777777" w:rsidTr="00865ADC">
        <w:trPr>
          <w:trHeight w:val="300"/>
        </w:trPr>
        <w:tc>
          <w:tcPr>
            <w:tcW w:w="1460" w:type="dxa"/>
            <w:noWrap/>
            <w:hideMark/>
          </w:tcPr>
          <w:p w14:paraId="3B73FA63" w14:textId="77777777" w:rsidR="00A36A8A" w:rsidRPr="00930676" w:rsidRDefault="00A36A8A" w:rsidP="00865ADC">
            <w:r w:rsidRPr="00930676">
              <w:t>period + rock</w:t>
            </w:r>
          </w:p>
        </w:tc>
        <w:tc>
          <w:tcPr>
            <w:tcW w:w="520" w:type="dxa"/>
            <w:noWrap/>
            <w:hideMark/>
          </w:tcPr>
          <w:p w14:paraId="6B5975BD" w14:textId="77777777" w:rsidR="00A36A8A" w:rsidRPr="00930676" w:rsidRDefault="00A36A8A" w:rsidP="00865ADC">
            <w:r w:rsidRPr="00930676">
              <w:t>4</w:t>
            </w:r>
          </w:p>
        </w:tc>
        <w:tc>
          <w:tcPr>
            <w:tcW w:w="1060" w:type="dxa"/>
            <w:noWrap/>
            <w:hideMark/>
          </w:tcPr>
          <w:p w14:paraId="6206C254" w14:textId="77777777" w:rsidR="00A36A8A" w:rsidRPr="00930676" w:rsidRDefault="00A36A8A" w:rsidP="00865ADC">
            <w:r w:rsidRPr="00930676">
              <w:t>3881.15</w:t>
            </w:r>
          </w:p>
        </w:tc>
        <w:tc>
          <w:tcPr>
            <w:tcW w:w="1120" w:type="dxa"/>
            <w:noWrap/>
            <w:hideMark/>
          </w:tcPr>
          <w:p w14:paraId="3859F54C" w14:textId="77777777" w:rsidR="00A36A8A" w:rsidRPr="00930676" w:rsidRDefault="00A36A8A" w:rsidP="00865ADC">
            <w:r w:rsidRPr="00930676">
              <w:t>0.53</w:t>
            </w:r>
          </w:p>
        </w:tc>
        <w:tc>
          <w:tcPr>
            <w:tcW w:w="1060" w:type="dxa"/>
            <w:noWrap/>
            <w:hideMark/>
          </w:tcPr>
          <w:p w14:paraId="6E2423D9" w14:textId="77777777" w:rsidR="00A36A8A" w:rsidRPr="00930676" w:rsidRDefault="00A36A8A" w:rsidP="00865ADC">
            <w:r w:rsidRPr="00930676">
              <w:t>0.19</w:t>
            </w:r>
          </w:p>
        </w:tc>
        <w:tc>
          <w:tcPr>
            <w:tcW w:w="1020" w:type="dxa"/>
            <w:noWrap/>
            <w:hideMark/>
          </w:tcPr>
          <w:p w14:paraId="7B80215B" w14:textId="77777777" w:rsidR="00A36A8A" w:rsidRPr="00930676" w:rsidRDefault="00A36A8A" w:rsidP="00865ADC">
            <w:r w:rsidRPr="00930676">
              <w:t>0.64</w:t>
            </w:r>
          </w:p>
        </w:tc>
        <w:tc>
          <w:tcPr>
            <w:tcW w:w="1120" w:type="dxa"/>
            <w:noWrap/>
            <w:hideMark/>
          </w:tcPr>
          <w:p w14:paraId="7D8CA50E" w14:textId="77777777" w:rsidR="00A36A8A" w:rsidRPr="00930676" w:rsidRDefault="00A36A8A" w:rsidP="00865ADC">
            <w:r w:rsidRPr="00930676">
              <w:t>-1936.58</w:t>
            </w:r>
          </w:p>
        </w:tc>
      </w:tr>
      <w:tr w:rsidR="00A36A8A" w:rsidRPr="00930676" w14:paraId="43BA5860" w14:textId="77777777" w:rsidTr="00865ADC">
        <w:trPr>
          <w:trHeight w:val="300"/>
        </w:trPr>
        <w:tc>
          <w:tcPr>
            <w:tcW w:w="1460" w:type="dxa"/>
            <w:noWrap/>
            <w:hideMark/>
          </w:tcPr>
          <w:p w14:paraId="2E2A316E" w14:textId="77777777" w:rsidR="00A36A8A" w:rsidRPr="00930676" w:rsidRDefault="00A36A8A" w:rsidP="00865ADC">
            <w:r w:rsidRPr="00930676">
              <w:t>period</w:t>
            </w:r>
          </w:p>
        </w:tc>
        <w:tc>
          <w:tcPr>
            <w:tcW w:w="520" w:type="dxa"/>
            <w:noWrap/>
            <w:hideMark/>
          </w:tcPr>
          <w:p w14:paraId="23B70BA6" w14:textId="77777777" w:rsidR="00A36A8A" w:rsidRPr="00930676" w:rsidRDefault="00A36A8A" w:rsidP="00865ADC">
            <w:r w:rsidRPr="00930676">
              <w:t>3</w:t>
            </w:r>
          </w:p>
        </w:tc>
        <w:tc>
          <w:tcPr>
            <w:tcW w:w="1060" w:type="dxa"/>
            <w:noWrap/>
            <w:hideMark/>
          </w:tcPr>
          <w:p w14:paraId="4046AC1B" w14:textId="77777777" w:rsidR="00A36A8A" w:rsidRPr="00930676" w:rsidRDefault="00A36A8A" w:rsidP="00865ADC">
            <w:r w:rsidRPr="00930676">
              <w:t>3881.2</w:t>
            </w:r>
          </w:p>
        </w:tc>
        <w:tc>
          <w:tcPr>
            <w:tcW w:w="1120" w:type="dxa"/>
            <w:noWrap/>
            <w:hideMark/>
          </w:tcPr>
          <w:p w14:paraId="7245689D" w14:textId="77777777" w:rsidR="00A36A8A" w:rsidRPr="00930676" w:rsidRDefault="00A36A8A" w:rsidP="00865ADC">
            <w:r w:rsidRPr="00930676">
              <w:t>0.58</w:t>
            </w:r>
          </w:p>
        </w:tc>
        <w:tc>
          <w:tcPr>
            <w:tcW w:w="1060" w:type="dxa"/>
            <w:noWrap/>
            <w:hideMark/>
          </w:tcPr>
          <w:p w14:paraId="6BCB42F2" w14:textId="77777777" w:rsidR="00A36A8A" w:rsidRPr="00930676" w:rsidRDefault="00A36A8A" w:rsidP="00865ADC">
            <w:r w:rsidRPr="00930676">
              <w:t>0.18</w:t>
            </w:r>
          </w:p>
        </w:tc>
        <w:tc>
          <w:tcPr>
            <w:tcW w:w="1020" w:type="dxa"/>
            <w:noWrap/>
            <w:hideMark/>
          </w:tcPr>
          <w:p w14:paraId="6FD43E1D" w14:textId="77777777" w:rsidR="00A36A8A" w:rsidRPr="00930676" w:rsidRDefault="00A36A8A" w:rsidP="00865ADC">
            <w:r w:rsidRPr="00930676">
              <w:t>0.82</w:t>
            </w:r>
          </w:p>
        </w:tc>
        <w:tc>
          <w:tcPr>
            <w:tcW w:w="1120" w:type="dxa"/>
            <w:noWrap/>
            <w:hideMark/>
          </w:tcPr>
          <w:p w14:paraId="3C5FD6A5" w14:textId="77777777" w:rsidR="00A36A8A" w:rsidRPr="00930676" w:rsidRDefault="00A36A8A" w:rsidP="00865ADC">
            <w:r w:rsidRPr="00930676">
              <w:t>-1937.6</w:t>
            </w:r>
          </w:p>
        </w:tc>
      </w:tr>
      <w:tr w:rsidR="00A36A8A" w:rsidRPr="00930676" w14:paraId="41AFF16A" w14:textId="77777777" w:rsidTr="00865ADC">
        <w:trPr>
          <w:trHeight w:val="300"/>
        </w:trPr>
        <w:tc>
          <w:tcPr>
            <w:tcW w:w="1460" w:type="dxa"/>
            <w:noWrap/>
            <w:hideMark/>
          </w:tcPr>
          <w:p w14:paraId="5EDD2BF2" w14:textId="77777777" w:rsidR="00A36A8A" w:rsidRPr="00930676" w:rsidRDefault="00A36A8A" w:rsidP="00865ADC">
            <w:r w:rsidRPr="00930676">
              <w:t>period + strata</w:t>
            </w:r>
          </w:p>
        </w:tc>
        <w:tc>
          <w:tcPr>
            <w:tcW w:w="520" w:type="dxa"/>
            <w:noWrap/>
            <w:hideMark/>
          </w:tcPr>
          <w:p w14:paraId="65EBD148" w14:textId="77777777" w:rsidR="00A36A8A" w:rsidRPr="00930676" w:rsidRDefault="00A36A8A" w:rsidP="00865ADC">
            <w:r w:rsidRPr="00930676">
              <w:t>6</w:t>
            </w:r>
          </w:p>
        </w:tc>
        <w:tc>
          <w:tcPr>
            <w:tcW w:w="1060" w:type="dxa"/>
            <w:noWrap/>
            <w:hideMark/>
          </w:tcPr>
          <w:p w14:paraId="22C8A65A" w14:textId="77777777" w:rsidR="00A36A8A" w:rsidRPr="00930676" w:rsidRDefault="00A36A8A" w:rsidP="00865ADC">
            <w:r w:rsidRPr="00930676">
              <w:t>3882.48</w:t>
            </w:r>
          </w:p>
        </w:tc>
        <w:tc>
          <w:tcPr>
            <w:tcW w:w="1120" w:type="dxa"/>
            <w:noWrap/>
            <w:hideMark/>
          </w:tcPr>
          <w:p w14:paraId="06A29374" w14:textId="77777777" w:rsidR="00A36A8A" w:rsidRPr="00930676" w:rsidRDefault="00A36A8A" w:rsidP="00865ADC">
            <w:r w:rsidRPr="00930676">
              <w:t>1.86</w:t>
            </w:r>
          </w:p>
        </w:tc>
        <w:tc>
          <w:tcPr>
            <w:tcW w:w="1060" w:type="dxa"/>
            <w:noWrap/>
            <w:hideMark/>
          </w:tcPr>
          <w:p w14:paraId="25FF8AEE" w14:textId="77777777" w:rsidR="00A36A8A" w:rsidRPr="00930676" w:rsidRDefault="00A36A8A" w:rsidP="00865ADC">
            <w:r w:rsidRPr="00930676">
              <w:t>0.1</w:t>
            </w:r>
          </w:p>
        </w:tc>
        <w:tc>
          <w:tcPr>
            <w:tcW w:w="1020" w:type="dxa"/>
            <w:noWrap/>
            <w:hideMark/>
          </w:tcPr>
          <w:p w14:paraId="5781925E" w14:textId="77777777" w:rsidR="00A36A8A" w:rsidRPr="00930676" w:rsidRDefault="00A36A8A" w:rsidP="00865ADC">
            <w:r w:rsidRPr="00930676">
              <w:t>0.92</w:t>
            </w:r>
          </w:p>
        </w:tc>
        <w:tc>
          <w:tcPr>
            <w:tcW w:w="1120" w:type="dxa"/>
            <w:noWrap/>
            <w:hideMark/>
          </w:tcPr>
          <w:p w14:paraId="20D90C0C" w14:textId="77777777" w:rsidR="00A36A8A" w:rsidRPr="00930676" w:rsidRDefault="00A36A8A" w:rsidP="00865ADC">
            <w:r w:rsidRPr="00930676">
              <w:t>-1935.24</w:t>
            </w:r>
          </w:p>
        </w:tc>
      </w:tr>
      <w:tr w:rsidR="00A36A8A" w:rsidRPr="00930676" w14:paraId="28DCDAC9" w14:textId="77777777" w:rsidTr="00865ADC">
        <w:trPr>
          <w:trHeight w:val="300"/>
        </w:trPr>
        <w:tc>
          <w:tcPr>
            <w:tcW w:w="1460" w:type="dxa"/>
            <w:noWrap/>
            <w:hideMark/>
          </w:tcPr>
          <w:p w14:paraId="15CD4D2C" w14:textId="77777777" w:rsidR="00A36A8A" w:rsidRPr="00930676" w:rsidRDefault="00A36A8A" w:rsidP="00865ADC">
            <w:r w:rsidRPr="00930676">
              <w:t>period * rock</w:t>
            </w:r>
          </w:p>
        </w:tc>
        <w:tc>
          <w:tcPr>
            <w:tcW w:w="520" w:type="dxa"/>
            <w:noWrap/>
            <w:hideMark/>
          </w:tcPr>
          <w:p w14:paraId="0016466A" w14:textId="77777777" w:rsidR="00A36A8A" w:rsidRPr="00930676" w:rsidRDefault="00A36A8A" w:rsidP="00865ADC">
            <w:r w:rsidRPr="00930676">
              <w:t>5</w:t>
            </w:r>
          </w:p>
        </w:tc>
        <w:tc>
          <w:tcPr>
            <w:tcW w:w="1060" w:type="dxa"/>
            <w:noWrap/>
            <w:hideMark/>
          </w:tcPr>
          <w:p w14:paraId="7197F12D" w14:textId="77777777" w:rsidR="00A36A8A" w:rsidRPr="00930676" w:rsidRDefault="00A36A8A" w:rsidP="00865ADC">
            <w:r w:rsidRPr="00930676">
              <w:t>3883.13</w:t>
            </w:r>
          </w:p>
        </w:tc>
        <w:tc>
          <w:tcPr>
            <w:tcW w:w="1120" w:type="dxa"/>
            <w:noWrap/>
            <w:hideMark/>
          </w:tcPr>
          <w:p w14:paraId="6D0C2CAE" w14:textId="77777777" w:rsidR="00A36A8A" w:rsidRPr="00930676" w:rsidRDefault="00A36A8A" w:rsidP="00865ADC">
            <w:r w:rsidRPr="00930676">
              <w:t>2.51</w:t>
            </w:r>
          </w:p>
        </w:tc>
        <w:tc>
          <w:tcPr>
            <w:tcW w:w="1060" w:type="dxa"/>
            <w:noWrap/>
            <w:hideMark/>
          </w:tcPr>
          <w:p w14:paraId="071AF4E4" w14:textId="77777777" w:rsidR="00A36A8A" w:rsidRPr="00930676" w:rsidRDefault="00A36A8A" w:rsidP="00865ADC">
            <w:r w:rsidRPr="00930676">
              <w:t>0.07</w:t>
            </w:r>
          </w:p>
        </w:tc>
        <w:tc>
          <w:tcPr>
            <w:tcW w:w="1020" w:type="dxa"/>
            <w:noWrap/>
            <w:hideMark/>
          </w:tcPr>
          <w:p w14:paraId="3031950A" w14:textId="77777777" w:rsidR="00A36A8A" w:rsidRPr="00930676" w:rsidRDefault="00A36A8A" w:rsidP="00865ADC">
            <w:r w:rsidRPr="00930676">
              <w:t>0.99</w:t>
            </w:r>
          </w:p>
        </w:tc>
        <w:tc>
          <w:tcPr>
            <w:tcW w:w="1120" w:type="dxa"/>
            <w:noWrap/>
            <w:hideMark/>
          </w:tcPr>
          <w:p w14:paraId="792F5BAC" w14:textId="77777777" w:rsidR="00A36A8A" w:rsidRPr="00930676" w:rsidRDefault="00A36A8A" w:rsidP="00865ADC">
            <w:r w:rsidRPr="00930676">
              <w:t>-1936.57</w:t>
            </w:r>
          </w:p>
        </w:tc>
      </w:tr>
      <w:tr w:rsidR="00A36A8A" w:rsidRPr="00930676" w14:paraId="53265F49" w14:textId="77777777" w:rsidTr="00865ADC">
        <w:trPr>
          <w:trHeight w:val="300"/>
        </w:trPr>
        <w:tc>
          <w:tcPr>
            <w:tcW w:w="1460" w:type="dxa"/>
            <w:noWrap/>
            <w:hideMark/>
          </w:tcPr>
          <w:p w14:paraId="3BC209E4" w14:textId="77777777" w:rsidR="00A36A8A" w:rsidRPr="00930676" w:rsidRDefault="00A36A8A" w:rsidP="00865ADC">
            <w:r w:rsidRPr="00930676">
              <w:t>period * strata</w:t>
            </w:r>
          </w:p>
        </w:tc>
        <w:tc>
          <w:tcPr>
            <w:tcW w:w="520" w:type="dxa"/>
            <w:noWrap/>
            <w:hideMark/>
          </w:tcPr>
          <w:p w14:paraId="1E024480" w14:textId="77777777" w:rsidR="00A36A8A" w:rsidRPr="00930676" w:rsidRDefault="00A36A8A" w:rsidP="00865ADC">
            <w:r w:rsidRPr="00930676">
              <w:t>9</w:t>
            </w:r>
          </w:p>
        </w:tc>
        <w:tc>
          <w:tcPr>
            <w:tcW w:w="1060" w:type="dxa"/>
            <w:noWrap/>
            <w:hideMark/>
          </w:tcPr>
          <w:p w14:paraId="580A9FB7" w14:textId="77777777" w:rsidR="00A36A8A" w:rsidRPr="00930676" w:rsidRDefault="00A36A8A" w:rsidP="00865ADC">
            <w:r w:rsidRPr="00930676">
              <w:t>3886.27</w:t>
            </w:r>
          </w:p>
        </w:tc>
        <w:tc>
          <w:tcPr>
            <w:tcW w:w="1120" w:type="dxa"/>
            <w:noWrap/>
            <w:hideMark/>
          </w:tcPr>
          <w:p w14:paraId="2A9E18AE" w14:textId="77777777" w:rsidR="00A36A8A" w:rsidRPr="00930676" w:rsidRDefault="00A36A8A" w:rsidP="00865ADC">
            <w:r w:rsidRPr="00930676">
              <w:t>5.65</w:t>
            </w:r>
          </w:p>
        </w:tc>
        <w:tc>
          <w:tcPr>
            <w:tcW w:w="1060" w:type="dxa"/>
            <w:noWrap/>
            <w:hideMark/>
          </w:tcPr>
          <w:p w14:paraId="0E25A5F4" w14:textId="77777777" w:rsidR="00A36A8A" w:rsidRPr="00930676" w:rsidRDefault="00A36A8A" w:rsidP="00865ADC">
            <w:r w:rsidRPr="00930676">
              <w:t>0.01</w:t>
            </w:r>
          </w:p>
        </w:tc>
        <w:tc>
          <w:tcPr>
            <w:tcW w:w="1020" w:type="dxa"/>
            <w:noWrap/>
            <w:hideMark/>
          </w:tcPr>
          <w:p w14:paraId="555C33D7" w14:textId="77777777" w:rsidR="00A36A8A" w:rsidRPr="00930676" w:rsidRDefault="00A36A8A" w:rsidP="00865ADC">
            <w:r w:rsidRPr="00930676">
              <w:t>1</w:t>
            </w:r>
          </w:p>
        </w:tc>
        <w:tc>
          <w:tcPr>
            <w:tcW w:w="1120" w:type="dxa"/>
            <w:noWrap/>
            <w:hideMark/>
          </w:tcPr>
          <w:p w14:paraId="4D3DB3C5" w14:textId="77777777" w:rsidR="00A36A8A" w:rsidRPr="00930676" w:rsidRDefault="00A36A8A" w:rsidP="00865ADC">
            <w:r w:rsidRPr="00930676">
              <w:t>-1934.14</w:t>
            </w:r>
          </w:p>
        </w:tc>
      </w:tr>
    </w:tbl>
    <w:p w14:paraId="022261BE" w14:textId="77777777" w:rsidR="00A36A8A" w:rsidRDefault="00A36A8A" w:rsidP="00A36A8A">
      <w:pPr>
        <w:spacing w:after="0"/>
      </w:pPr>
    </w:p>
    <w:p w14:paraId="7C0C70EA" w14:textId="77777777" w:rsidR="00A36A8A" w:rsidRDefault="00A36A8A" w:rsidP="00A36A8A">
      <w:pPr>
        <w:spacing w:after="0"/>
      </w:pPr>
      <w:r>
        <w:t xml:space="preserve">Results (beta parameters) from models testing three broad hypotheses (1) whether live oyster counts were different across strata (restored-closed to fishing, restored-open to fishing, unrestored-open to fishing, restored-closed to fishing), (2) if counts differed across areas open or closed to fishing, (3) if oyster count differed for oyster reefs that had been restored or not restored were compared.  None of these models were statistically significant (all beta p &gt; 0.05).  This suggests that across all combinations of different factors we hypothesized could influence oyster counts, we are not able to statistically detect differences.  This does not mean that differences do not exist.  We used the models with the lowest AIC value (Table 1) to predict trends in oyster count over time (Period).  We found that over time live oyster counts in areas closed to fishing have been increasing, and live oyster counts in areas open to fishing have been decreasing (Figure 1).  We also predicted a slight increase in the live oyster counts on wild oyster bars and stable counts on restored oyster bars (Figure 2). </w:t>
      </w:r>
    </w:p>
    <w:p w14:paraId="0454B860" w14:textId="77777777" w:rsidR="00A36A8A" w:rsidRDefault="00A36A8A" w:rsidP="00A36A8A">
      <w:pPr>
        <w:spacing w:after="0"/>
      </w:pPr>
    </w:p>
    <w:p w14:paraId="4131EC8D" w14:textId="77777777" w:rsidR="00A36A8A" w:rsidRDefault="00A36A8A" w:rsidP="00A36A8A">
      <w:pPr>
        <w:spacing w:after="0"/>
      </w:pPr>
    </w:p>
    <w:p w14:paraId="334CC779" w14:textId="77777777" w:rsidR="00A36A8A" w:rsidRDefault="00A36A8A" w:rsidP="00A36A8A">
      <w:pPr>
        <w:keepNext/>
        <w:spacing w:after="0"/>
      </w:pPr>
      <w:r>
        <w:rPr>
          <w:noProof/>
        </w:rPr>
        <w:lastRenderedPageBreak/>
        <w:drawing>
          <wp:inline distT="0" distB="0" distL="0" distR="0" wp14:anchorId="401724C8" wp14:editId="52EAEAC4">
            <wp:extent cx="5943600" cy="4526915"/>
            <wp:effectExtent l="0" t="0" r="0" b="6985"/>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2"/>
                    <a:stretch>
                      <a:fillRect/>
                    </a:stretch>
                  </pic:blipFill>
                  <pic:spPr>
                    <a:xfrm>
                      <a:off x="0" y="0"/>
                      <a:ext cx="5943600" cy="4526915"/>
                    </a:xfrm>
                    <a:prstGeom prst="rect">
                      <a:avLst/>
                    </a:prstGeom>
                  </pic:spPr>
                </pic:pic>
              </a:graphicData>
            </a:graphic>
          </wp:inline>
        </w:drawing>
      </w:r>
    </w:p>
    <w:p w14:paraId="238D362A" w14:textId="70960458" w:rsidR="00A36A8A" w:rsidRDefault="00A36A8A" w:rsidP="00A36A8A">
      <w:pPr>
        <w:pStyle w:val="Caption"/>
      </w:pPr>
      <w:r>
        <w:t xml:space="preserve">Figure </w:t>
      </w:r>
      <w:r>
        <w:fldChar w:fldCharType="begin"/>
      </w:r>
      <w:r>
        <w:instrText xml:space="preserve"> SEQ Figure \* ARABIC </w:instrText>
      </w:r>
      <w:r>
        <w:fldChar w:fldCharType="separate"/>
      </w:r>
      <w:r w:rsidR="00CE5A93">
        <w:rPr>
          <w:noProof/>
        </w:rPr>
        <w:t>6</w:t>
      </w:r>
      <w:r>
        <w:rPr>
          <w:noProof/>
        </w:rPr>
        <w:fldChar w:fldCharType="end"/>
      </w:r>
      <w:r>
        <w:t>:  Observed (black dot) and predicted (solid black line) counts of live oysters per 1 meter of transect (y axis) over period of time (x axis) for sites closed to fishing (left panel) and open to fishing (right panel).  The grey ribbon is the predicted 95% confidence interval.</w:t>
      </w:r>
    </w:p>
    <w:p w14:paraId="7B63AE7D" w14:textId="77777777" w:rsidR="00A36A8A" w:rsidRDefault="00A36A8A" w:rsidP="00A36A8A">
      <w:pPr>
        <w:spacing w:after="0"/>
      </w:pPr>
    </w:p>
    <w:p w14:paraId="3A29EB52" w14:textId="77777777" w:rsidR="00A36A8A" w:rsidRDefault="00A36A8A" w:rsidP="00A36A8A">
      <w:pPr>
        <w:spacing w:after="0"/>
        <w:rPr>
          <w:rFonts w:eastAsiaTheme="minorEastAsia"/>
        </w:rPr>
      </w:pPr>
    </w:p>
    <w:p w14:paraId="753570A4" w14:textId="77777777" w:rsidR="00A36A8A" w:rsidRDefault="00A36A8A" w:rsidP="00A36A8A">
      <w:pPr>
        <w:keepNext/>
        <w:spacing w:after="0"/>
      </w:pPr>
      <w:r>
        <w:rPr>
          <w:noProof/>
        </w:rPr>
        <w:lastRenderedPageBreak/>
        <w:drawing>
          <wp:inline distT="0" distB="0" distL="0" distR="0" wp14:anchorId="193D4071" wp14:editId="5DDDDD5B">
            <wp:extent cx="5943600" cy="432435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5943600" cy="4324350"/>
                    </a:xfrm>
                    <a:prstGeom prst="rect">
                      <a:avLst/>
                    </a:prstGeom>
                  </pic:spPr>
                </pic:pic>
              </a:graphicData>
            </a:graphic>
          </wp:inline>
        </w:drawing>
      </w:r>
    </w:p>
    <w:p w14:paraId="1E2F4B33" w14:textId="77777777" w:rsidR="00A36A8A" w:rsidRDefault="00A36A8A" w:rsidP="00A36A8A">
      <w:pPr>
        <w:pStyle w:val="Caption"/>
      </w:pPr>
      <w:r>
        <w:t>Figure 2:  Observed (black dot) and predicted (solid black line) counts of live oysters per 1 meter of transect (y axis) over period of time (x axis) for sites that received rock restoration (left panel) and sites that were not restored (right panel).  The grey ribbon is the predicted 95% confidence interval.</w:t>
      </w:r>
    </w:p>
    <w:p w14:paraId="1764B4AD" w14:textId="77777777" w:rsidR="00A36A8A" w:rsidRDefault="00A36A8A" w:rsidP="00A36A8A">
      <w:pPr>
        <w:spacing w:after="0"/>
      </w:pPr>
    </w:p>
    <w:p w14:paraId="0D741FD3" w14:textId="77777777" w:rsidR="00A36A8A" w:rsidRPr="003D4B07" w:rsidRDefault="00A36A8A" w:rsidP="00A36A8A">
      <w:pPr>
        <w:rPr>
          <w:i/>
          <w:iCs/>
        </w:rPr>
      </w:pPr>
      <w:r>
        <w:rPr>
          <w:i/>
          <w:iCs/>
        </w:rPr>
        <w:t>Adding covariates</w:t>
      </w:r>
    </w:p>
    <w:p w14:paraId="3AF5A65D" w14:textId="77777777" w:rsidR="00A36A8A" w:rsidRDefault="00A36A8A" w:rsidP="00A36A8A">
      <w:r>
        <w:t xml:space="preserve">We explored basic covariates of management interest (like Moore et al. 2020) related to river discharge (as a proxy for nutrients, salinity, and other water quality factors).  To account for antecedent flow effects, we assessed how discharge in the current year, one-year lag of discharge (one year prior), and two-year lag of discharge (discharge two years prior) influenced live oyster counts.  We also assessed commercial fishing activity metrics (i.e., fishery effort and landings at same lag-time intervals).  The relationships between commercial fishing and intertidal oyster reefs is complicated because oysters on intertidal reefs rarely reach legal size (76.2-mm) likely because of feeding time limitations when exposed to air.  Over the past 12 years of oyster research in Lone Cabbage, &lt; 100 legal size oysters have been measured out of several thousand oysters measured.  However, as discussed in Moore et al. (2020) there could be aspects of source-sink dynamics that are occurring that could create linkages between intertidal oyster population trends and subtidal oysters harvested.  </w:t>
      </w:r>
    </w:p>
    <w:p w14:paraId="7CFC06E9" w14:textId="77777777" w:rsidR="00A36A8A" w:rsidRDefault="00A36A8A" w:rsidP="00A36A8A">
      <w:r>
        <w:t xml:space="preserve">We added these covariates to a simple model (but one with AIC support; live counts ~ period + offset(log(transect length)) and tested how individual covariates improved model fit (Table 2). </w:t>
      </w:r>
    </w:p>
    <w:p w14:paraId="6BA223A2" w14:textId="77777777" w:rsidR="00A36A8A" w:rsidRDefault="00A36A8A" w:rsidP="00A36A8A"/>
    <w:p w14:paraId="463DFBF5" w14:textId="77777777" w:rsidR="00A36A8A" w:rsidRDefault="00A36A8A" w:rsidP="00A36A8A"/>
    <w:p w14:paraId="52F7B474" w14:textId="53F6833C" w:rsidR="00A36A8A" w:rsidRDefault="00A36A8A" w:rsidP="00A36A8A">
      <w:pPr>
        <w:pStyle w:val="Caption"/>
        <w:keepNext/>
      </w:pPr>
      <w:r>
        <w:lastRenderedPageBreak/>
        <w:t xml:space="preserve">Table </w:t>
      </w:r>
      <w:r>
        <w:fldChar w:fldCharType="begin"/>
      </w:r>
      <w:r>
        <w:instrText xml:space="preserve"> SEQ Table \* ARABIC </w:instrText>
      </w:r>
      <w:r>
        <w:fldChar w:fldCharType="separate"/>
      </w:r>
      <w:r w:rsidR="00CE5A93">
        <w:rPr>
          <w:noProof/>
        </w:rPr>
        <w:t>3</w:t>
      </w:r>
      <w:r>
        <w:rPr>
          <w:noProof/>
        </w:rPr>
        <w:fldChar w:fldCharType="end"/>
      </w:r>
      <w:r>
        <w:t>: Model selection table. All models are count_live ~ period + covariate + offset(log(transect length)) model as the base model with different covariates added to this model to compare fit.</w:t>
      </w:r>
    </w:p>
    <w:tbl>
      <w:tblPr>
        <w:tblStyle w:val="TableGrid"/>
        <w:tblW w:w="0" w:type="auto"/>
        <w:tblLook w:val="04A0" w:firstRow="1" w:lastRow="0" w:firstColumn="1" w:lastColumn="0" w:noHBand="0" w:noVBand="1"/>
      </w:tblPr>
      <w:tblGrid>
        <w:gridCol w:w="2965"/>
        <w:gridCol w:w="520"/>
        <w:gridCol w:w="1060"/>
        <w:gridCol w:w="1120"/>
        <w:gridCol w:w="1060"/>
        <w:gridCol w:w="1020"/>
        <w:gridCol w:w="1120"/>
      </w:tblGrid>
      <w:tr w:rsidR="00A36A8A" w:rsidRPr="00930676" w14:paraId="08A83A00" w14:textId="77777777" w:rsidTr="00865ADC">
        <w:trPr>
          <w:trHeight w:val="300"/>
        </w:trPr>
        <w:tc>
          <w:tcPr>
            <w:tcW w:w="2965" w:type="dxa"/>
            <w:noWrap/>
            <w:hideMark/>
          </w:tcPr>
          <w:p w14:paraId="03D2A6CD" w14:textId="77777777" w:rsidR="00A36A8A" w:rsidRPr="00930676" w:rsidRDefault="00A36A8A" w:rsidP="00865ADC">
            <w:r>
              <w:t>Covariate</w:t>
            </w:r>
          </w:p>
        </w:tc>
        <w:tc>
          <w:tcPr>
            <w:tcW w:w="520" w:type="dxa"/>
            <w:noWrap/>
            <w:hideMark/>
          </w:tcPr>
          <w:p w14:paraId="4355C616" w14:textId="77777777" w:rsidR="00A36A8A" w:rsidRPr="00930676" w:rsidRDefault="00A36A8A" w:rsidP="00865ADC">
            <w:r w:rsidRPr="00930676">
              <w:t>K</w:t>
            </w:r>
          </w:p>
        </w:tc>
        <w:tc>
          <w:tcPr>
            <w:tcW w:w="1060" w:type="dxa"/>
            <w:noWrap/>
            <w:hideMark/>
          </w:tcPr>
          <w:p w14:paraId="4C9D1BFF" w14:textId="77777777" w:rsidR="00A36A8A" w:rsidRPr="00930676" w:rsidRDefault="00A36A8A" w:rsidP="00865ADC">
            <w:r w:rsidRPr="00930676">
              <w:t>AIC</w:t>
            </w:r>
          </w:p>
        </w:tc>
        <w:tc>
          <w:tcPr>
            <w:tcW w:w="1120" w:type="dxa"/>
            <w:noWrap/>
            <w:hideMark/>
          </w:tcPr>
          <w:p w14:paraId="4247F5F4" w14:textId="77777777" w:rsidR="00A36A8A" w:rsidRPr="00930676" w:rsidRDefault="00A36A8A" w:rsidP="00865ADC">
            <w:r w:rsidRPr="00930676">
              <w:t>Delta_AIC</w:t>
            </w:r>
          </w:p>
        </w:tc>
        <w:tc>
          <w:tcPr>
            <w:tcW w:w="1060" w:type="dxa"/>
            <w:noWrap/>
            <w:hideMark/>
          </w:tcPr>
          <w:p w14:paraId="5DB37631" w14:textId="77777777" w:rsidR="00A36A8A" w:rsidRPr="00930676" w:rsidRDefault="00A36A8A" w:rsidP="00865ADC">
            <w:r w:rsidRPr="00930676">
              <w:t>AICWt</w:t>
            </w:r>
          </w:p>
        </w:tc>
        <w:tc>
          <w:tcPr>
            <w:tcW w:w="1020" w:type="dxa"/>
            <w:noWrap/>
            <w:hideMark/>
          </w:tcPr>
          <w:p w14:paraId="48CA2CDD" w14:textId="77777777" w:rsidR="00A36A8A" w:rsidRPr="00930676" w:rsidRDefault="00A36A8A" w:rsidP="00865ADC">
            <w:r w:rsidRPr="00930676">
              <w:t>Cum.Wt</w:t>
            </w:r>
          </w:p>
        </w:tc>
        <w:tc>
          <w:tcPr>
            <w:tcW w:w="1120" w:type="dxa"/>
            <w:noWrap/>
            <w:hideMark/>
          </w:tcPr>
          <w:p w14:paraId="0F27E5D1" w14:textId="77777777" w:rsidR="00A36A8A" w:rsidRPr="00930676" w:rsidRDefault="00A36A8A" w:rsidP="00865ADC">
            <w:r w:rsidRPr="00930676">
              <w:t>LL</w:t>
            </w:r>
          </w:p>
        </w:tc>
      </w:tr>
      <w:tr w:rsidR="00A36A8A" w:rsidRPr="00930676" w14:paraId="41F5F97F" w14:textId="77777777" w:rsidTr="00865ADC">
        <w:trPr>
          <w:trHeight w:val="300"/>
        </w:trPr>
        <w:tc>
          <w:tcPr>
            <w:tcW w:w="2965" w:type="dxa"/>
            <w:noWrap/>
          </w:tcPr>
          <w:p w14:paraId="38C5D8E2" w14:textId="77777777" w:rsidR="00A36A8A" w:rsidRPr="00930676" w:rsidRDefault="00A36A8A" w:rsidP="00865ADC">
            <w:r>
              <w:t>Trips 2-year lag</w:t>
            </w:r>
          </w:p>
        </w:tc>
        <w:tc>
          <w:tcPr>
            <w:tcW w:w="520" w:type="dxa"/>
            <w:noWrap/>
          </w:tcPr>
          <w:p w14:paraId="191E2980" w14:textId="77777777" w:rsidR="00A36A8A" w:rsidRPr="00930676" w:rsidRDefault="00A36A8A" w:rsidP="00865ADC">
            <w:r>
              <w:t>4</w:t>
            </w:r>
          </w:p>
        </w:tc>
        <w:tc>
          <w:tcPr>
            <w:tcW w:w="1060" w:type="dxa"/>
            <w:noWrap/>
          </w:tcPr>
          <w:p w14:paraId="352ACD58" w14:textId="77777777" w:rsidR="00A36A8A" w:rsidRPr="00930676" w:rsidRDefault="00A36A8A" w:rsidP="00865ADC">
            <w:r>
              <w:t>3867.64</w:t>
            </w:r>
          </w:p>
        </w:tc>
        <w:tc>
          <w:tcPr>
            <w:tcW w:w="1120" w:type="dxa"/>
            <w:noWrap/>
          </w:tcPr>
          <w:p w14:paraId="46148B80" w14:textId="77777777" w:rsidR="00A36A8A" w:rsidRPr="00930676" w:rsidRDefault="00A36A8A" w:rsidP="00865ADC">
            <w:r>
              <w:t>0.00</w:t>
            </w:r>
          </w:p>
        </w:tc>
        <w:tc>
          <w:tcPr>
            <w:tcW w:w="1060" w:type="dxa"/>
            <w:noWrap/>
          </w:tcPr>
          <w:p w14:paraId="1D3881DF" w14:textId="77777777" w:rsidR="00A36A8A" w:rsidRPr="00930676" w:rsidRDefault="00A36A8A" w:rsidP="00865ADC">
            <w:r>
              <w:t>0.91</w:t>
            </w:r>
          </w:p>
        </w:tc>
        <w:tc>
          <w:tcPr>
            <w:tcW w:w="1020" w:type="dxa"/>
            <w:noWrap/>
          </w:tcPr>
          <w:p w14:paraId="1BDB0FB8" w14:textId="77777777" w:rsidR="00A36A8A" w:rsidRPr="00930676" w:rsidRDefault="00A36A8A" w:rsidP="00865ADC">
            <w:r>
              <w:t>0.91</w:t>
            </w:r>
          </w:p>
        </w:tc>
        <w:tc>
          <w:tcPr>
            <w:tcW w:w="1120" w:type="dxa"/>
            <w:noWrap/>
          </w:tcPr>
          <w:p w14:paraId="3DF6D92A" w14:textId="77777777" w:rsidR="00A36A8A" w:rsidRPr="00930676" w:rsidRDefault="00A36A8A" w:rsidP="00865ADC">
            <w:r>
              <w:t>-1929.82</w:t>
            </w:r>
          </w:p>
        </w:tc>
      </w:tr>
      <w:tr w:rsidR="00A36A8A" w:rsidRPr="00930676" w14:paraId="2ED8480B" w14:textId="77777777" w:rsidTr="00865ADC">
        <w:trPr>
          <w:trHeight w:val="300"/>
        </w:trPr>
        <w:tc>
          <w:tcPr>
            <w:tcW w:w="2965" w:type="dxa"/>
            <w:noWrap/>
          </w:tcPr>
          <w:p w14:paraId="147163CB" w14:textId="77777777" w:rsidR="00A36A8A" w:rsidRPr="00930676" w:rsidRDefault="00A36A8A" w:rsidP="00865ADC">
            <w:r>
              <w:t>Landings 2-year lag</w:t>
            </w:r>
          </w:p>
        </w:tc>
        <w:tc>
          <w:tcPr>
            <w:tcW w:w="520" w:type="dxa"/>
            <w:noWrap/>
          </w:tcPr>
          <w:p w14:paraId="5D0E1060" w14:textId="77777777" w:rsidR="00A36A8A" w:rsidRPr="00930676" w:rsidRDefault="00A36A8A" w:rsidP="00865ADC">
            <w:r>
              <w:t>4</w:t>
            </w:r>
          </w:p>
        </w:tc>
        <w:tc>
          <w:tcPr>
            <w:tcW w:w="1060" w:type="dxa"/>
            <w:noWrap/>
          </w:tcPr>
          <w:p w14:paraId="7F972476" w14:textId="77777777" w:rsidR="00A36A8A" w:rsidRPr="00930676" w:rsidRDefault="00A36A8A" w:rsidP="00865ADC">
            <w:r>
              <w:t>3872.55</w:t>
            </w:r>
          </w:p>
        </w:tc>
        <w:tc>
          <w:tcPr>
            <w:tcW w:w="1120" w:type="dxa"/>
            <w:noWrap/>
          </w:tcPr>
          <w:p w14:paraId="645ED127" w14:textId="77777777" w:rsidR="00A36A8A" w:rsidRPr="00930676" w:rsidRDefault="00A36A8A" w:rsidP="00865ADC">
            <w:r>
              <w:t>4.92</w:t>
            </w:r>
          </w:p>
        </w:tc>
        <w:tc>
          <w:tcPr>
            <w:tcW w:w="1060" w:type="dxa"/>
            <w:noWrap/>
          </w:tcPr>
          <w:p w14:paraId="248AC2F9" w14:textId="77777777" w:rsidR="00A36A8A" w:rsidRPr="00930676" w:rsidRDefault="00A36A8A" w:rsidP="00865ADC">
            <w:r>
              <w:t>0.08</w:t>
            </w:r>
          </w:p>
        </w:tc>
        <w:tc>
          <w:tcPr>
            <w:tcW w:w="1020" w:type="dxa"/>
            <w:noWrap/>
          </w:tcPr>
          <w:p w14:paraId="7A66A352" w14:textId="77777777" w:rsidR="00A36A8A" w:rsidRPr="00930676" w:rsidRDefault="00A36A8A" w:rsidP="00865ADC">
            <w:r>
              <w:t>0.99</w:t>
            </w:r>
          </w:p>
        </w:tc>
        <w:tc>
          <w:tcPr>
            <w:tcW w:w="1120" w:type="dxa"/>
            <w:noWrap/>
          </w:tcPr>
          <w:p w14:paraId="4E946AF6" w14:textId="77777777" w:rsidR="00A36A8A" w:rsidRPr="00930676" w:rsidRDefault="00A36A8A" w:rsidP="00865ADC">
            <w:r>
              <w:t>-1932.28</w:t>
            </w:r>
          </w:p>
        </w:tc>
      </w:tr>
      <w:tr w:rsidR="00A36A8A" w:rsidRPr="00930676" w14:paraId="7A9232B9" w14:textId="77777777" w:rsidTr="00865ADC">
        <w:trPr>
          <w:trHeight w:val="300"/>
        </w:trPr>
        <w:tc>
          <w:tcPr>
            <w:tcW w:w="2965" w:type="dxa"/>
            <w:noWrap/>
          </w:tcPr>
          <w:p w14:paraId="3A509E52" w14:textId="77777777" w:rsidR="00A36A8A" w:rsidRPr="00930676" w:rsidRDefault="00A36A8A" w:rsidP="00865ADC">
            <w:r>
              <w:t>Trips 1-year lag</w:t>
            </w:r>
          </w:p>
        </w:tc>
        <w:tc>
          <w:tcPr>
            <w:tcW w:w="520" w:type="dxa"/>
            <w:noWrap/>
          </w:tcPr>
          <w:p w14:paraId="41D67ED7" w14:textId="77777777" w:rsidR="00A36A8A" w:rsidRPr="00930676" w:rsidRDefault="00A36A8A" w:rsidP="00865ADC">
            <w:r>
              <w:t>4</w:t>
            </w:r>
          </w:p>
        </w:tc>
        <w:tc>
          <w:tcPr>
            <w:tcW w:w="1060" w:type="dxa"/>
            <w:noWrap/>
          </w:tcPr>
          <w:p w14:paraId="5CCCC9C8" w14:textId="77777777" w:rsidR="00A36A8A" w:rsidRPr="00930676" w:rsidRDefault="00A36A8A" w:rsidP="00865ADC">
            <w:r>
              <w:t>3880.05</w:t>
            </w:r>
          </w:p>
        </w:tc>
        <w:tc>
          <w:tcPr>
            <w:tcW w:w="1120" w:type="dxa"/>
            <w:noWrap/>
          </w:tcPr>
          <w:p w14:paraId="3765E908" w14:textId="77777777" w:rsidR="00A36A8A" w:rsidRPr="00930676" w:rsidRDefault="00A36A8A" w:rsidP="00865ADC">
            <w:r>
              <w:t>12.42</w:t>
            </w:r>
          </w:p>
        </w:tc>
        <w:tc>
          <w:tcPr>
            <w:tcW w:w="1060" w:type="dxa"/>
            <w:noWrap/>
          </w:tcPr>
          <w:p w14:paraId="5BA9968C" w14:textId="77777777" w:rsidR="00A36A8A" w:rsidRPr="00930676" w:rsidRDefault="00A36A8A" w:rsidP="00865ADC">
            <w:r>
              <w:t>0.00</w:t>
            </w:r>
          </w:p>
        </w:tc>
        <w:tc>
          <w:tcPr>
            <w:tcW w:w="1020" w:type="dxa"/>
            <w:noWrap/>
          </w:tcPr>
          <w:p w14:paraId="14014D02" w14:textId="77777777" w:rsidR="00A36A8A" w:rsidRPr="00930676" w:rsidRDefault="00A36A8A" w:rsidP="00865ADC">
            <w:r>
              <w:t>0.99</w:t>
            </w:r>
          </w:p>
        </w:tc>
        <w:tc>
          <w:tcPr>
            <w:tcW w:w="1120" w:type="dxa"/>
            <w:noWrap/>
          </w:tcPr>
          <w:p w14:paraId="10F3F888" w14:textId="77777777" w:rsidR="00A36A8A" w:rsidRPr="00930676" w:rsidRDefault="00A36A8A" w:rsidP="00865ADC">
            <w:r>
              <w:t>-1936.03</w:t>
            </w:r>
          </w:p>
        </w:tc>
      </w:tr>
      <w:tr w:rsidR="00A36A8A" w:rsidRPr="00930676" w14:paraId="4BF96186" w14:textId="77777777" w:rsidTr="00865ADC">
        <w:trPr>
          <w:trHeight w:val="300"/>
        </w:trPr>
        <w:tc>
          <w:tcPr>
            <w:tcW w:w="2965" w:type="dxa"/>
            <w:noWrap/>
          </w:tcPr>
          <w:p w14:paraId="55B0E1AF" w14:textId="77777777" w:rsidR="00A36A8A" w:rsidRDefault="00A36A8A" w:rsidP="00865ADC">
            <w:r>
              <w:t>None</w:t>
            </w:r>
          </w:p>
        </w:tc>
        <w:tc>
          <w:tcPr>
            <w:tcW w:w="520" w:type="dxa"/>
            <w:noWrap/>
          </w:tcPr>
          <w:p w14:paraId="7DCEE7CA" w14:textId="77777777" w:rsidR="00A36A8A" w:rsidRDefault="00A36A8A" w:rsidP="00865ADC">
            <w:r>
              <w:t>3</w:t>
            </w:r>
          </w:p>
        </w:tc>
        <w:tc>
          <w:tcPr>
            <w:tcW w:w="1060" w:type="dxa"/>
            <w:noWrap/>
          </w:tcPr>
          <w:p w14:paraId="059F1BD5" w14:textId="77777777" w:rsidR="00A36A8A" w:rsidRPr="00930676" w:rsidRDefault="00A36A8A" w:rsidP="00865ADC">
            <w:r>
              <w:t>3881.20</w:t>
            </w:r>
          </w:p>
        </w:tc>
        <w:tc>
          <w:tcPr>
            <w:tcW w:w="1120" w:type="dxa"/>
            <w:noWrap/>
          </w:tcPr>
          <w:p w14:paraId="43FB8023" w14:textId="77777777" w:rsidR="00A36A8A" w:rsidRPr="00930676" w:rsidRDefault="00A36A8A" w:rsidP="00865ADC">
            <w:r>
              <w:t>13.56</w:t>
            </w:r>
          </w:p>
        </w:tc>
        <w:tc>
          <w:tcPr>
            <w:tcW w:w="1060" w:type="dxa"/>
            <w:noWrap/>
          </w:tcPr>
          <w:p w14:paraId="226F9CAD" w14:textId="77777777" w:rsidR="00A36A8A" w:rsidRPr="00930676" w:rsidRDefault="00A36A8A" w:rsidP="00865ADC">
            <w:r>
              <w:t>0.00</w:t>
            </w:r>
          </w:p>
        </w:tc>
        <w:tc>
          <w:tcPr>
            <w:tcW w:w="1020" w:type="dxa"/>
            <w:noWrap/>
          </w:tcPr>
          <w:p w14:paraId="2EDA6A25" w14:textId="77777777" w:rsidR="00A36A8A" w:rsidRPr="00930676" w:rsidRDefault="00A36A8A" w:rsidP="00865ADC">
            <w:r>
              <w:t>0.99</w:t>
            </w:r>
          </w:p>
        </w:tc>
        <w:tc>
          <w:tcPr>
            <w:tcW w:w="1120" w:type="dxa"/>
            <w:noWrap/>
          </w:tcPr>
          <w:p w14:paraId="0C26EA5B" w14:textId="77777777" w:rsidR="00A36A8A" w:rsidRPr="00930676" w:rsidRDefault="00A36A8A" w:rsidP="00865ADC">
            <w:r>
              <w:t>-1937.60</w:t>
            </w:r>
          </w:p>
        </w:tc>
      </w:tr>
      <w:tr w:rsidR="00A36A8A" w:rsidRPr="00930676" w14:paraId="62BBC252" w14:textId="77777777" w:rsidTr="00865ADC">
        <w:trPr>
          <w:trHeight w:val="300"/>
        </w:trPr>
        <w:tc>
          <w:tcPr>
            <w:tcW w:w="2965" w:type="dxa"/>
            <w:noWrap/>
          </w:tcPr>
          <w:p w14:paraId="391F41EC" w14:textId="77777777" w:rsidR="00A36A8A" w:rsidRPr="00930676" w:rsidRDefault="00A36A8A" w:rsidP="00865ADC">
            <w:r>
              <w:t>Total Discharge 2- year lag</w:t>
            </w:r>
          </w:p>
        </w:tc>
        <w:tc>
          <w:tcPr>
            <w:tcW w:w="520" w:type="dxa"/>
            <w:noWrap/>
          </w:tcPr>
          <w:p w14:paraId="7F30D851" w14:textId="77777777" w:rsidR="00A36A8A" w:rsidRPr="00930676" w:rsidRDefault="00A36A8A" w:rsidP="00865ADC">
            <w:r>
              <w:t>4</w:t>
            </w:r>
          </w:p>
        </w:tc>
        <w:tc>
          <w:tcPr>
            <w:tcW w:w="1060" w:type="dxa"/>
            <w:noWrap/>
          </w:tcPr>
          <w:p w14:paraId="0FE7969C" w14:textId="77777777" w:rsidR="00A36A8A" w:rsidRPr="00930676" w:rsidRDefault="00A36A8A" w:rsidP="00865ADC">
            <w:r>
              <w:t>3881.37</w:t>
            </w:r>
          </w:p>
        </w:tc>
        <w:tc>
          <w:tcPr>
            <w:tcW w:w="1120" w:type="dxa"/>
            <w:noWrap/>
          </w:tcPr>
          <w:p w14:paraId="4289A9D3" w14:textId="77777777" w:rsidR="00A36A8A" w:rsidRPr="00930676" w:rsidRDefault="00A36A8A" w:rsidP="00865ADC">
            <w:r>
              <w:t>13.73</w:t>
            </w:r>
          </w:p>
        </w:tc>
        <w:tc>
          <w:tcPr>
            <w:tcW w:w="1060" w:type="dxa"/>
            <w:noWrap/>
          </w:tcPr>
          <w:p w14:paraId="3644E49C" w14:textId="77777777" w:rsidR="00A36A8A" w:rsidRPr="00930676" w:rsidRDefault="00A36A8A" w:rsidP="00865ADC">
            <w:r>
              <w:t>0.00</w:t>
            </w:r>
          </w:p>
        </w:tc>
        <w:tc>
          <w:tcPr>
            <w:tcW w:w="1020" w:type="dxa"/>
            <w:noWrap/>
          </w:tcPr>
          <w:p w14:paraId="0C03102A" w14:textId="77777777" w:rsidR="00A36A8A" w:rsidRPr="00930676" w:rsidRDefault="00A36A8A" w:rsidP="00865ADC">
            <w:r>
              <w:t>1.00</w:t>
            </w:r>
          </w:p>
        </w:tc>
        <w:tc>
          <w:tcPr>
            <w:tcW w:w="1120" w:type="dxa"/>
            <w:noWrap/>
          </w:tcPr>
          <w:p w14:paraId="6C8FC66A" w14:textId="77777777" w:rsidR="00A36A8A" w:rsidRPr="00930676" w:rsidRDefault="00A36A8A" w:rsidP="00865ADC">
            <w:r>
              <w:t>-1936.68</w:t>
            </w:r>
          </w:p>
        </w:tc>
      </w:tr>
      <w:tr w:rsidR="00A36A8A" w:rsidRPr="00930676" w14:paraId="5B5FC6EE" w14:textId="77777777" w:rsidTr="00865ADC">
        <w:trPr>
          <w:trHeight w:val="300"/>
        </w:trPr>
        <w:tc>
          <w:tcPr>
            <w:tcW w:w="2965" w:type="dxa"/>
            <w:noWrap/>
          </w:tcPr>
          <w:p w14:paraId="581AC0B2" w14:textId="77777777" w:rsidR="00A36A8A" w:rsidRPr="00930676" w:rsidRDefault="00A36A8A" w:rsidP="00865ADC">
            <w:r>
              <w:t>Annual Discharge 2-year lag</w:t>
            </w:r>
          </w:p>
        </w:tc>
        <w:tc>
          <w:tcPr>
            <w:tcW w:w="520" w:type="dxa"/>
            <w:noWrap/>
          </w:tcPr>
          <w:p w14:paraId="155F3EA3" w14:textId="77777777" w:rsidR="00A36A8A" w:rsidRPr="00930676" w:rsidRDefault="00A36A8A" w:rsidP="00865ADC">
            <w:r>
              <w:t>4</w:t>
            </w:r>
          </w:p>
        </w:tc>
        <w:tc>
          <w:tcPr>
            <w:tcW w:w="1060" w:type="dxa"/>
            <w:noWrap/>
          </w:tcPr>
          <w:p w14:paraId="01F2C21E" w14:textId="77777777" w:rsidR="00A36A8A" w:rsidRPr="00930676" w:rsidRDefault="00A36A8A" w:rsidP="00865ADC">
            <w:r>
              <w:t>3881.37</w:t>
            </w:r>
          </w:p>
        </w:tc>
        <w:tc>
          <w:tcPr>
            <w:tcW w:w="1120" w:type="dxa"/>
            <w:noWrap/>
          </w:tcPr>
          <w:p w14:paraId="590DB6A3" w14:textId="77777777" w:rsidR="00A36A8A" w:rsidRPr="00930676" w:rsidRDefault="00A36A8A" w:rsidP="00865ADC">
            <w:r>
              <w:t>13.73</w:t>
            </w:r>
          </w:p>
        </w:tc>
        <w:tc>
          <w:tcPr>
            <w:tcW w:w="1060" w:type="dxa"/>
            <w:noWrap/>
          </w:tcPr>
          <w:p w14:paraId="7E247ED4" w14:textId="77777777" w:rsidR="00A36A8A" w:rsidRPr="00930676" w:rsidRDefault="00A36A8A" w:rsidP="00865ADC">
            <w:r>
              <w:t>0.00</w:t>
            </w:r>
          </w:p>
        </w:tc>
        <w:tc>
          <w:tcPr>
            <w:tcW w:w="1020" w:type="dxa"/>
            <w:noWrap/>
          </w:tcPr>
          <w:p w14:paraId="59228645" w14:textId="77777777" w:rsidR="00A36A8A" w:rsidRPr="00930676" w:rsidRDefault="00A36A8A" w:rsidP="00865ADC">
            <w:r>
              <w:t>1.00</w:t>
            </w:r>
          </w:p>
        </w:tc>
        <w:tc>
          <w:tcPr>
            <w:tcW w:w="1120" w:type="dxa"/>
            <w:noWrap/>
          </w:tcPr>
          <w:p w14:paraId="1C85FDA1" w14:textId="77777777" w:rsidR="00A36A8A" w:rsidRPr="00930676" w:rsidRDefault="00A36A8A" w:rsidP="00865ADC">
            <w:r>
              <w:t>-1936.68</w:t>
            </w:r>
          </w:p>
        </w:tc>
      </w:tr>
      <w:tr w:rsidR="00A36A8A" w:rsidRPr="00930676" w14:paraId="5E19D0C4" w14:textId="77777777" w:rsidTr="00865ADC">
        <w:trPr>
          <w:trHeight w:val="300"/>
        </w:trPr>
        <w:tc>
          <w:tcPr>
            <w:tcW w:w="2965" w:type="dxa"/>
            <w:noWrap/>
          </w:tcPr>
          <w:p w14:paraId="045F7035" w14:textId="77777777" w:rsidR="00A36A8A" w:rsidRPr="00930676" w:rsidRDefault="00A36A8A" w:rsidP="00865ADC">
            <w:r>
              <w:t>Annual Discharge 1-year lag</w:t>
            </w:r>
          </w:p>
        </w:tc>
        <w:tc>
          <w:tcPr>
            <w:tcW w:w="520" w:type="dxa"/>
            <w:noWrap/>
          </w:tcPr>
          <w:p w14:paraId="5C604944" w14:textId="77777777" w:rsidR="00A36A8A" w:rsidRPr="00930676" w:rsidRDefault="00A36A8A" w:rsidP="00865ADC">
            <w:r>
              <w:t>4</w:t>
            </w:r>
          </w:p>
        </w:tc>
        <w:tc>
          <w:tcPr>
            <w:tcW w:w="1060" w:type="dxa"/>
            <w:noWrap/>
          </w:tcPr>
          <w:p w14:paraId="74E78F64" w14:textId="77777777" w:rsidR="00A36A8A" w:rsidRPr="00930676" w:rsidRDefault="00A36A8A" w:rsidP="00865ADC">
            <w:r>
              <w:t>3881.78</w:t>
            </w:r>
          </w:p>
        </w:tc>
        <w:tc>
          <w:tcPr>
            <w:tcW w:w="1120" w:type="dxa"/>
            <w:noWrap/>
          </w:tcPr>
          <w:p w14:paraId="7274D96D" w14:textId="77777777" w:rsidR="00A36A8A" w:rsidRPr="00930676" w:rsidRDefault="00A36A8A" w:rsidP="00865ADC">
            <w:r>
              <w:t>14.15</w:t>
            </w:r>
          </w:p>
        </w:tc>
        <w:tc>
          <w:tcPr>
            <w:tcW w:w="1060" w:type="dxa"/>
            <w:noWrap/>
          </w:tcPr>
          <w:p w14:paraId="07C60C3C" w14:textId="77777777" w:rsidR="00A36A8A" w:rsidRPr="00930676" w:rsidRDefault="00A36A8A" w:rsidP="00865ADC">
            <w:r>
              <w:t>0.00</w:t>
            </w:r>
          </w:p>
        </w:tc>
        <w:tc>
          <w:tcPr>
            <w:tcW w:w="1020" w:type="dxa"/>
            <w:noWrap/>
          </w:tcPr>
          <w:p w14:paraId="53D000FC" w14:textId="77777777" w:rsidR="00A36A8A" w:rsidRPr="00930676" w:rsidRDefault="00A36A8A" w:rsidP="00865ADC">
            <w:r>
              <w:t>1.00</w:t>
            </w:r>
          </w:p>
        </w:tc>
        <w:tc>
          <w:tcPr>
            <w:tcW w:w="1120" w:type="dxa"/>
            <w:noWrap/>
          </w:tcPr>
          <w:p w14:paraId="6DC29D4F" w14:textId="77777777" w:rsidR="00A36A8A" w:rsidRPr="00930676" w:rsidRDefault="00A36A8A" w:rsidP="00865ADC">
            <w:r>
              <w:t>-1936.89</w:t>
            </w:r>
          </w:p>
        </w:tc>
      </w:tr>
      <w:tr w:rsidR="00A36A8A" w:rsidRPr="00930676" w14:paraId="534CD68A" w14:textId="77777777" w:rsidTr="00865ADC">
        <w:trPr>
          <w:trHeight w:val="300"/>
        </w:trPr>
        <w:tc>
          <w:tcPr>
            <w:tcW w:w="2965" w:type="dxa"/>
            <w:noWrap/>
          </w:tcPr>
          <w:p w14:paraId="1F6ACCCA" w14:textId="77777777" w:rsidR="00A36A8A" w:rsidRPr="00930676" w:rsidRDefault="00A36A8A" w:rsidP="00865ADC">
            <w:r>
              <w:t>Total Discharge 1-year lag</w:t>
            </w:r>
          </w:p>
        </w:tc>
        <w:tc>
          <w:tcPr>
            <w:tcW w:w="520" w:type="dxa"/>
            <w:noWrap/>
          </w:tcPr>
          <w:p w14:paraId="5F3F3633" w14:textId="77777777" w:rsidR="00A36A8A" w:rsidRPr="00930676" w:rsidRDefault="00A36A8A" w:rsidP="00865ADC">
            <w:r>
              <w:t>4</w:t>
            </w:r>
          </w:p>
        </w:tc>
        <w:tc>
          <w:tcPr>
            <w:tcW w:w="1060" w:type="dxa"/>
            <w:noWrap/>
          </w:tcPr>
          <w:p w14:paraId="170F340C" w14:textId="77777777" w:rsidR="00A36A8A" w:rsidRPr="00930676" w:rsidRDefault="00A36A8A" w:rsidP="00865ADC">
            <w:r>
              <w:t>3881.80</w:t>
            </w:r>
          </w:p>
        </w:tc>
        <w:tc>
          <w:tcPr>
            <w:tcW w:w="1120" w:type="dxa"/>
            <w:noWrap/>
          </w:tcPr>
          <w:p w14:paraId="3D4C6AF4" w14:textId="77777777" w:rsidR="00A36A8A" w:rsidRPr="00930676" w:rsidRDefault="00A36A8A" w:rsidP="00865ADC">
            <w:r>
              <w:t>14.17</w:t>
            </w:r>
          </w:p>
        </w:tc>
        <w:tc>
          <w:tcPr>
            <w:tcW w:w="1060" w:type="dxa"/>
            <w:noWrap/>
          </w:tcPr>
          <w:p w14:paraId="37AFEE21" w14:textId="77777777" w:rsidR="00A36A8A" w:rsidRPr="00930676" w:rsidRDefault="00A36A8A" w:rsidP="00865ADC">
            <w:r>
              <w:t>0.00</w:t>
            </w:r>
          </w:p>
        </w:tc>
        <w:tc>
          <w:tcPr>
            <w:tcW w:w="1020" w:type="dxa"/>
            <w:noWrap/>
          </w:tcPr>
          <w:p w14:paraId="734F3982" w14:textId="77777777" w:rsidR="00A36A8A" w:rsidRPr="00930676" w:rsidRDefault="00A36A8A" w:rsidP="00865ADC">
            <w:r>
              <w:t>1.00</w:t>
            </w:r>
          </w:p>
        </w:tc>
        <w:tc>
          <w:tcPr>
            <w:tcW w:w="1120" w:type="dxa"/>
            <w:noWrap/>
          </w:tcPr>
          <w:p w14:paraId="415E220B" w14:textId="77777777" w:rsidR="00A36A8A" w:rsidRPr="00930676" w:rsidRDefault="00A36A8A" w:rsidP="00865ADC">
            <w:r>
              <w:t>-1936.90</w:t>
            </w:r>
          </w:p>
        </w:tc>
      </w:tr>
      <w:tr w:rsidR="00A36A8A" w:rsidRPr="00930676" w14:paraId="5D0BD157" w14:textId="77777777" w:rsidTr="00865ADC">
        <w:trPr>
          <w:trHeight w:val="300"/>
        </w:trPr>
        <w:tc>
          <w:tcPr>
            <w:tcW w:w="2965" w:type="dxa"/>
            <w:noWrap/>
          </w:tcPr>
          <w:p w14:paraId="45CF3E1B" w14:textId="77777777" w:rsidR="00A36A8A" w:rsidRPr="00930676" w:rsidRDefault="00A36A8A" w:rsidP="00865ADC">
            <w:r>
              <w:t>Landings 1-year lag</w:t>
            </w:r>
          </w:p>
        </w:tc>
        <w:tc>
          <w:tcPr>
            <w:tcW w:w="520" w:type="dxa"/>
            <w:noWrap/>
          </w:tcPr>
          <w:p w14:paraId="3A8E60B5" w14:textId="77777777" w:rsidR="00A36A8A" w:rsidRPr="00930676" w:rsidRDefault="00A36A8A" w:rsidP="00865ADC">
            <w:r>
              <w:t>4</w:t>
            </w:r>
          </w:p>
        </w:tc>
        <w:tc>
          <w:tcPr>
            <w:tcW w:w="1060" w:type="dxa"/>
            <w:noWrap/>
          </w:tcPr>
          <w:p w14:paraId="0320E3DD" w14:textId="77777777" w:rsidR="00A36A8A" w:rsidRPr="00930676" w:rsidRDefault="00A36A8A" w:rsidP="00865ADC">
            <w:r>
              <w:t>3882.27</w:t>
            </w:r>
          </w:p>
        </w:tc>
        <w:tc>
          <w:tcPr>
            <w:tcW w:w="1120" w:type="dxa"/>
            <w:noWrap/>
          </w:tcPr>
          <w:p w14:paraId="1FD23C2D" w14:textId="77777777" w:rsidR="00A36A8A" w:rsidRPr="00930676" w:rsidRDefault="00A36A8A" w:rsidP="00865ADC">
            <w:r>
              <w:t>14.63</w:t>
            </w:r>
          </w:p>
        </w:tc>
        <w:tc>
          <w:tcPr>
            <w:tcW w:w="1060" w:type="dxa"/>
            <w:noWrap/>
          </w:tcPr>
          <w:p w14:paraId="5F5B483D" w14:textId="77777777" w:rsidR="00A36A8A" w:rsidRPr="00930676" w:rsidRDefault="00A36A8A" w:rsidP="00865ADC">
            <w:r>
              <w:t>0.00</w:t>
            </w:r>
          </w:p>
        </w:tc>
        <w:tc>
          <w:tcPr>
            <w:tcW w:w="1020" w:type="dxa"/>
            <w:noWrap/>
          </w:tcPr>
          <w:p w14:paraId="4BEF3E5A" w14:textId="77777777" w:rsidR="00A36A8A" w:rsidRPr="00930676" w:rsidRDefault="00A36A8A" w:rsidP="00865ADC">
            <w:r>
              <w:t>1.00</w:t>
            </w:r>
          </w:p>
        </w:tc>
        <w:tc>
          <w:tcPr>
            <w:tcW w:w="1120" w:type="dxa"/>
            <w:noWrap/>
          </w:tcPr>
          <w:p w14:paraId="3437D5A4" w14:textId="77777777" w:rsidR="00A36A8A" w:rsidRPr="00930676" w:rsidRDefault="00A36A8A" w:rsidP="00865ADC">
            <w:r>
              <w:t>-1937.13</w:t>
            </w:r>
          </w:p>
        </w:tc>
      </w:tr>
      <w:tr w:rsidR="00A36A8A" w:rsidRPr="00930676" w14:paraId="48612BE7" w14:textId="77777777" w:rsidTr="00865ADC">
        <w:trPr>
          <w:trHeight w:val="300"/>
        </w:trPr>
        <w:tc>
          <w:tcPr>
            <w:tcW w:w="2965" w:type="dxa"/>
            <w:noWrap/>
          </w:tcPr>
          <w:p w14:paraId="296ACB80" w14:textId="77777777" w:rsidR="00A36A8A" w:rsidRPr="00930676" w:rsidRDefault="00A36A8A" w:rsidP="00865ADC">
            <w:r>
              <w:t xml:space="preserve">Trips </w:t>
            </w:r>
          </w:p>
        </w:tc>
        <w:tc>
          <w:tcPr>
            <w:tcW w:w="520" w:type="dxa"/>
            <w:noWrap/>
          </w:tcPr>
          <w:p w14:paraId="010DBFA0" w14:textId="77777777" w:rsidR="00A36A8A" w:rsidRPr="00930676" w:rsidRDefault="00A36A8A" w:rsidP="00865ADC">
            <w:r>
              <w:t>4</w:t>
            </w:r>
          </w:p>
        </w:tc>
        <w:tc>
          <w:tcPr>
            <w:tcW w:w="1060" w:type="dxa"/>
            <w:noWrap/>
          </w:tcPr>
          <w:p w14:paraId="077D139A" w14:textId="77777777" w:rsidR="00A36A8A" w:rsidRPr="00930676" w:rsidRDefault="00A36A8A" w:rsidP="00865ADC">
            <w:r>
              <w:t>3882.47</w:t>
            </w:r>
          </w:p>
        </w:tc>
        <w:tc>
          <w:tcPr>
            <w:tcW w:w="1120" w:type="dxa"/>
            <w:noWrap/>
          </w:tcPr>
          <w:p w14:paraId="6465B072" w14:textId="77777777" w:rsidR="00A36A8A" w:rsidRPr="00930676" w:rsidRDefault="00A36A8A" w:rsidP="00865ADC">
            <w:r>
              <w:t>14.83</w:t>
            </w:r>
          </w:p>
        </w:tc>
        <w:tc>
          <w:tcPr>
            <w:tcW w:w="1060" w:type="dxa"/>
            <w:noWrap/>
          </w:tcPr>
          <w:p w14:paraId="2C2EDEEB" w14:textId="77777777" w:rsidR="00A36A8A" w:rsidRPr="00930676" w:rsidRDefault="00A36A8A" w:rsidP="00865ADC">
            <w:r>
              <w:t>0.00</w:t>
            </w:r>
          </w:p>
        </w:tc>
        <w:tc>
          <w:tcPr>
            <w:tcW w:w="1020" w:type="dxa"/>
            <w:noWrap/>
          </w:tcPr>
          <w:p w14:paraId="1D2AA2E8" w14:textId="77777777" w:rsidR="00A36A8A" w:rsidRPr="00930676" w:rsidRDefault="00A36A8A" w:rsidP="00865ADC">
            <w:r>
              <w:t>1.00</w:t>
            </w:r>
          </w:p>
        </w:tc>
        <w:tc>
          <w:tcPr>
            <w:tcW w:w="1120" w:type="dxa"/>
            <w:noWrap/>
          </w:tcPr>
          <w:p w14:paraId="07B86757" w14:textId="77777777" w:rsidR="00A36A8A" w:rsidRPr="00930676" w:rsidRDefault="00A36A8A" w:rsidP="00865ADC">
            <w:r>
              <w:t>-1937.23</w:t>
            </w:r>
          </w:p>
        </w:tc>
      </w:tr>
      <w:tr w:rsidR="00A36A8A" w:rsidRPr="00930676" w14:paraId="41C57952" w14:textId="77777777" w:rsidTr="00865ADC">
        <w:trPr>
          <w:trHeight w:val="300"/>
        </w:trPr>
        <w:tc>
          <w:tcPr>
            <w:tcW w:w="2965" w:type="dxa"/>
            <w:noWrap/>
          </w:tcPr>
          <w:p w14:paraId="52DE18B4" w14:textId="77777777" w:rsidR="00A36A8A" w:rsidRPr="00930676" w:rsidRDefault="00A36A8A" w:rsidP="00865ADC">
            <w:r>
              <w:t>Landings</w:t>
            </w:r>
          </w:p>
        </w:tc>
        <w:tc>
          <w:tcPr>
            <w:tcW w:w="520" w:type="dxa"/>
            <w:noWrap/>
          </w:tcPr>
          <w:p w14:paraId="2D669ECA" w14:textId="77777777" w:rsidR="00A36A8A" w:rsidRPr="00930676" w:rsidRDefault="00A36A8A" w:rsidP="00865ADC">
            <w:r>
              <w:t>4</w:t>
            </w:r>
          </w:p>
        </w:tc>
        <w:tc>
          <w:tcPr>
            <w:tcW w:w="1060" w:type="dxa"/>
            <w:noWrap/>
          </w:tcPr>
          <w:p w14:paraId="54E6665A" w14:textId="77777777" w:rsidR="00A36A8A" w:rsidRPr="00930676" w:rsidRDefault="00A36A8A" w:rsidP="00865ADC">
            <w:r>
              <w:t>3883.14</w:t>
            </w:r>
          </w:p>
        </w:tc>
        <w:tc>
          <w:tcPr>
            <w:tcW w:w="1120" w:type="dxa"/>
            <w:noWrap/>
          </w:tcPr>
          <w:p w14:paraId="25F162AA" w14:textId="77777777" w:rsidR="00A36A8A" w:rsidRPr="00930676" w:rsidRDefault="00A36A8A" w:rsidP="00865ADC">
            <w:r>
              <w:t>15.51</w:t>
            </w:r>
          </w:p>
        </w:tc>
        <w:tc>
          <w:tcPr>
            <w:tcW w:w="1060" w:type="dxa"/>
            <w:noWrap/>
          </w:tcPr>
          <w:p w14:paraId="3862D0AD" w14:textId="77777777" w:rsidR="00A36A8A" w:rsidRPr="00930676" w:rsidRDefault="00A36A8A" w:rsidP="00865ADC">
            <w:r>
              <w:t>0.00</w:t>
            </w:r>
          </w:p>
        </w:tc>
        <w:tc>
          <w:tcPr>
            <w:tcW w:w="1020" w:type="dxa"/>
            <w:noWrap/>
          </w:tcPr>
          <w:p w14:paraId="41EC4A2D" w14:textId="77777777" w:rsidR="00A36A8A" w:rsidRPr="00930676" w:rsidRDefault="00A36A8A" w:rsidP="00865ADC">
            <w:r>
              <w:t>1.00</w:t>
            </w:r>
          </w:p>
        </w:tc>
        <w:tc>
          <w:tcPr>
            <w:tcW w:w="1120" w:type="dxa"/>
            <w:noWrap/>
          </w:tcPr>
          <w:p w14:paraId="20E66535" w14:textId="77777777" w:rsidR="00A36A8A" w:rsidRPr="00930676" w:rsidRDefault="00A36A8A" w:rsidP="00865ADC">
            <w:r>
              <w:t>-1937.57</w:t>
            </w:r>
          </w:p>
        </w:tc>
      </w:tr>
      <w:tr w:rsidR="00A36A8A" w:rsidRPr="00930676" w14:paraId="72DCD8FF" w14:textId="77777777" w:rsidTr="00865ADC">
        <w:trPr>
          <w:trHeight w:val="300"/>
        </w:trPr>
        <w:tc>
          <w:tcPr>
            <w:tcW w:w="2965" w:type="dxa"/>
            <w:noWrap/>
          </w:tcPr>
          <w:p w14:paraId="4FCC1B2D" w14:textId="77777777" w:rsidR="00A36A8A" w:rsidRPr="00930676" w:rsidRDefault="00A36A8A" w:rsidP="00865ADC">
            <w:r>
              <w:t>Annual Discharge</w:t>
            </w:r>
          </w:p>
        </w:tc>
        <w:tc>
          <w:tcPr>
            <w:tcW w:w="520" w:type="dxa"/>
            <w:noWrap/>
          </w:tcPr>
          <w:p w14:paraId="643B65C3" w14:textId="77777777" w:rsidR="00A36A8A" w:rsidRPr="00930676" w:rsidRDefault="00A36A8A" w:rsidP="00865ADC">
            <w:r>
              <w:t>4</w:t>
            </w:r>
          </w:p>
        </w:tc>
        <w:tc>
          <w:tcPr>
            <w:tcW w:w="1060" w:type="dxa"/>
            <w:noWrap/>
          </w:tcPr>
          <w:p w14:paraId="55BBD091" w14:textId="77777777" w:rsidR="00A36A8A" w:rsidRPr="00930676" w:rsidRDefault="00A36A8A" w:rsidP="00865ADC">
            <w:r>
              <w:t>3883.16</w:t>
            </w:r>
          </w:p>
        </w:tc>
        <w:tc>
          <w:tcPr>
            <w:tcW w:w="1120" w:type="dxa"/>
            <w:noWrap/>
          </w:tcPr>
          <w:p w14:paraId="213D25A4" w14:textId="77777777" w:rsidR="00A36A8A" w:rsidRPr="00930676" w:rsidRDefault="00A36A8A" w:rsidP="00865ADC">
            <w:r>
              <w:t>15.52</w:t>
            </w:r>
          </w:p>
        </w:tc>
        <w:tc>
          <w:tcPr>
            <w:tcW w:w="1060" w:type="dxa"/>
            <w:noWrap/>
          </w:tcPr>
          <w:p w14:paraId="41D9CBAF" w14:textId="77777777" w:rsidR="00A36A8A" w:rsidRPr="00930676" w:rsidRDefault="00A36A8A" w:rsidP="00865ADC">
            <w:r>
              <w:t>0.00</w:t>
            </w:r>
          </w:p>
        </w:tc>
        <w:tc>
          <w:tcPr>
            <w:tcW w:w="1020" w:type="dxa"/>
            <w:noWrap/>
          </w:tcPr>
          <w:p w14:paraId="5B67E0E0" w14:textId="77777777" w:rsidR="00A36A8A" w:rsidRPr="00930676" w:rsidRDefault="00A36A8A" w:rsidP="00865ADC">
            <w:r>
              <w:t>1.00</w:t>
            </w:r>
          </w:p>
        </w:tc>
        <w:tc>
          <w:tcPr>
            <w:tcW w:w="1120" w:type="dxa"/>
            <w:noWrap/>
          </w:tcPr>
          <w:p w14:paraId="3B2AC538" w14:textId="77777777" w:rsidR="00A36A8A" w:rsidRPr="00930676" w:rsidRDefault="00A36A8A" w:rsidP="00865ADC">
            <w:r>
              <w:t>-1937.58</w:t>
            </w:r>
          </w:p>
        </w:tc>
      </w:tr>
      <w:tr w:rsidR="00A36A8A" w:rsidRPr="00930676" w14:paraId="013AE470" w14:textId="77777777" w:rsidTr="00865ADC">
        <w:trPr>
          <w:trHeight w:val="300"/>
        </w:trPr>
        <w:tc>
          <w:tcPr>
            <w:tcW w:w="2965" w:type="dxa"/>
            <w:noWrap/>
          </w:tcPr>
          <w:p w14:paraId="1D7D9ECF" w14:textId="77777777" w:rsidR="00A36A8A" w:rsidRPr="00930676" w:rsidRDefault="00A36A8A" w:rsidP="00865ADC">
            <w:r>
              <w:t>Total Discharge</w:t>
            </w:r>
          </w:p>
        </w:tc>
        <w:tc>
          <w:tcPr>
            <w:tcW w:w="520" w:type="dxa"/>
            <w:noWrap/>
          </w:tcPr>
          <w:p w14:paraId="77421B86" w14:textId="77777777" w:rsidR="00A36A8A" w:rsidRPr="00930676" w:rsidRDefault="00A36A8A" w:rsidP="00865ADC">
            <w:r>
              <w:t>4</w:t>
            </w:r>
          </w:p>
        </w:tc>
        <w:tc>
          <w:tcPr>
            <w:tcW w:w="1060" w:type="dxa"/>
            <w:noWrap/>
          </w:tcPr>
          <w:p w14:paraId="3E26E9F4" w14:textId="77777777" w:rsidR="00A36A8A" w:rsidRPr="00930676" w:rsidRDefault="00A36A8A" w:rsidP="00865ADC">
            <w:r>
              <w:t>3883.16</w:t>
            </w:r>
          </w:p>
        </w:tc>
        <w:tc>
          <w:tcPr>
            <w:tcW w:w="1120" w:type="dxa"/>
            <w:noWrap/>
          </w:tcPr>
          <w:p w14:paraId="75E9FC4C" w14:textId="77777777" w:rsidR="00A36A8A" w:rsidRPr="00930676" w:rsidRDefault="00A36A8A" w:rsidP="00865ADC">
            <w:r>
              <w:t>15.53</w:t>
            </w:r>
          </w:p>
        </w:tc>
        <w:tc>
          <w:tcPr>
            <w:tcW w:w="1060" w:type="dxa"/>
            <w:noWrap/>
          </w:tcPr>
          <w:p w14:paraId="2C80D477" w14:textId="77777777" w:rsidR="00A36A8A" w:rsidRPr="00930676" w:rsidRDefault="00A36A8A" w:rsidP="00865ADC">
            <w:r>
              <w:t>0.00</w:t>
            </w:r>
          </w:p>
        </w:tc>
        <w:tc>
          <w:tcPr>
            <w:tcW w:w="1020" w:type="dxa"/>
            <w:noWrap/>
          </w:tcPr>
          <w:p w14:paraId="65639F96" w14:textId="77777777" w:rsidR="00A36A8A" w:rsidRPr="00930676" w:rsidRDefault="00A36A8A" w:rsidP="00865ADC">
            <w:r>
              <w:t>1.00</w:t>
            </w:r>
          </w:p>
        </w:tc>
        <w:tc>
          <w:tcPr>
            <w:tcW w:w="1120" w:type="dxa"/>
            <w:noWrap/>
          </w:tcPr>
          <w:p w14:paraId="39EE2CD6" w14:textId="77777777" w:rsidR="00A36A8A" w:rsidRPr="00930676" w:rsidRDefault="00A36A8A" w:rsidP="00865ADC">
            <w:r>
              <w:t>-1937.58</w:t>
            </w:r>
          </w:p>
        </w:tc>
      </w:tr>
    </w:tbl>
    <w:p w14:paraId="4B5A563B" w14:textId="77777777" w:rsidR="00A36A8A" w:rsidRDefault="00A36A8A" w:rsidP="00A36A8A"/>
    <w:p w14:paraId="63AB0274" w14:textId="77777777" w:rsidR="00A36A8A" w:rsidRDefault="00A36A8A" w:rsidP="00A36A8A">
      <w:r>
        <w:t xml:space="preserve">We found model fit could be improved when we included information on oyster fishing trips with a 2-year lag (Table 2). </w:t>
      </w:r>
    </w:p>
    <w:p w14:paraId="328A0C76" w14:textId="77777777" w:rsidR="00A36A8A" w:rsidRDefault="00A36A8A" w:rsidP="00A36A8A">
      <w:r>
        <w:t xml:space="preserve">We then used this model to predict live oyster counts based on commercial oyster trips two-years prior (Figure 3) or commercial landings two-years prior (Figure 4) and both show increasing trend – more commercial fishing trips or landings resulted in higher counts.  We are still working to develop hypotheses about this relationship.  It could be that in years with more oysters, there are more landings, as the fishery is simply responding to fluctuations in oyster population.  This would assume that intertidal and subtidal oyster populations are following similar patterns over time. We are continuing to develop ideas. </w:t>
      </w:r>
    </w:p>
    <w:p w14:paraId="750CC90E" w14:textId="77777777" w:rsidR="00A36A8A" w:rsidRDefault="00A36A8A" w:rsidP="00A36A8A">
      <w:pPr>
        <w:keepNext/>
      </w:pPr>
      <w:r>
        <w:rPr>
          <w:noProof/>
        </w:rPr>
        <w:lastRenderedPageBreak/>
        <w:drawing>
          <wp:inline distT="0" distB="0" distL="0" distR="0" wp14:anchorId="2381CFA4" wp14:editId="4607896A">
            <wp:extent cx="5943600" cy="532193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5943600" cy="5321935"/>
                    </a:xfrm>
                    <a:prstGeom prst="rect">
                      <a:avLst/>
                    </a:prstGeom>
                  </pic:spPr>
                </pic:pic>
              </a:graphicData>
            </a:graphic>
          </wp:inline>
        </w:drawing>
      </w:r>
    </w:p>
    <w:p w14:paraId="068A1527" w14:textId="77777777" w:rsidR="00A36A8A" w:rsidRDefault="00A36A8A" w:rsidP="00A36A8A">
      <w:pPr>
        <w:pStyle w:val="Caption"/>
      </w:pPr>
      <w:r>
        <w:t>Figure 3:  Observed (black dot) and predicted (solid black line) counts of live oysters per 1 meter of transect (y axis) over commercial fisheries trips two years prior (x axis).  The pink ribbon is the predicted 95% confidence interval.</w:t>
      </w:r>
    </w:p>
    <w:p w14:paraId="7A5A1E67" w14:textId="77777777" w:rsidR="00A36A8A" w:rsidRDefault="00A36A8A" w:rsidP="00A36A8A">
      <w:pPr>
        <w:spacing w:after="0"/>
        <w:rPr>
          <w:i/>
          <w:iCs/>
        </w:rPr>
      </w:pPr>
    </w:p>
    <w:p w14:paraId="6E4D602F" w14:textId="77777777" w:rsidR="00A36A8A" w:rsidRDefault="00A36A8A" w:rsidP="00A36A8A">
      <w:pPr>
        <w:keepNext/>
      </w:pPr>
      <w:r>
        <w:rPr>
          <w:noProof/>
        </w:rPr>
        <w:lastRenderedPageBreak/>
        <w:drawing>
          <wp:inline distT="0" distB="0" distL="0" distR="0" wp14:anchorId="2A2F823F" wp14:editId="7BA48373">
            <wp:extent cx="5943600" cy="5256530"/>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5943600" cy="5256530"/>
                    </a:xfrm>
                    <a:prstGeom prst="rect">
                      <a:avLst/>
                    </a:prstGeom>
                  </pic:spPr>
                </pic:pic>
              </a:graphicData>
            </a:graphic>
          </wp:inline>
        </w:drawing>
      </w:r>
    </w:p>
    <w:p w14:paraId="296FD433" w14:textId="77777777" w:rsidR="00A36A8A" w:rsidRDefault="00A36A8A" w:rsidP="00A36A8A">
      <w:pPr>
        <w:pStyle w:val="Caption"/>
      </w:pPr>
      <w:r>
        <w:t>Figure 4:  Observed (black dot) and predicted (solid black line) counts of live oysters per 1 meter of transect (y axis) over commercial fisheries landings two years prior (x axis).  The pink ribbon is the predicted 95% confidence interval.</w:t>
      </w:r>
    </w:p>
    <w:p w14:paraId="422C7C5F" w14:textId="77777777" w:rsidR="00A36A8A" w:rsidRDefault="00A36A8A" w:rsidP="00A36A8A"/>
    <w:p w14:paraId="3FAC2C2B" w14:textId="77777777" w:rsidR="00A36A8A" w:rsidRDefault="00A36A8A" w:rsidP="00A36A8A">
      <w:r>
        <w:rPr>
          <w:noProof/>
        </w:rPr>
        <w:lastRenderedPageBreak/>
        <w:drawing>
          <wp:inline distT="0" distB="0" distL="0" distR="0" wp14:anchorId="7153C770" wp14:editId="36170CD9">
            <wp:extent cx="6332821" cy="378142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6"/>
                    <a:stretch>
                      <a:fillRect/>
                    </a:stretch>
                  </pic:blipFill>
                  <pic:spPr>
                    <a:xfrm>
                      <a:off x="0" y="0"/>
                      <a:ext cx="6335612" cy="3783092"/>
                    </a:xfrm>
                    <a:prstGeom prst="rect">
                      <a:avLst/>
                    </a:prstGeom>
                  </pic:spPr>
                </pic:pic>
              </a:graphicData>
            </a:graphic>
          </wp:inline>
        </w:drawing>
      </w:r>
    </w:p>
    <w:p w14:paraId="4B27376D" w14:textId="77777777" w:rsidR="00A36A8A" w:rsidRDefault="00A36A8A" w:rsidP="00A36A8A">
      <w:pPr>
        <w:pStyle w:val="Caption"/>
      </w:pPr>
      <w:r>
        <w:t>Figure 5:  Observed (black dot) and predicted (solid black line) counts of live oysters per 1 meter of transect (y axis) over three different measures of Suwannee River discharge from USGS Wilcox gage.  The x-axis of the left panel is mean annual discharge, center panel is mean annual discharge with a 1-year lag, and right panel is mean annual discharge with a two-year lag. The pink ribbon is the predicted 95% confidence interval.</w:t>
      </w:r>
    </w:p>
    <w:p w14:paraId="3A862737" w14:textId="77777777" w:rsidR="00A36A8A" w:rsidRDefault="00A36A8A" w:rsidP="00A36A8A">
      <w:r>
        <w:rPr>
          <w:i/>
          <w:iCs/>
        </w:rPr>
        <w:t>River discharge</w:t>
      </w:r>
    </w:p>
    <w:p w14:paraId="479B41EC" w14:textId="77777777" w:rsidR="00A36A8A" w:rsidRPr="00A9497F" w:rsidRDefault="00A36A8A" w:rsidP="00A36A8A">
      <w:r>
        <w:t>We assessed how river discharge, and antecedent river discharge influenced live oyster counts.  We found a positive relationship between antecedent flow conditions with a one, but not two-year time lag and no relationship within river discharge for the same year counts are collected.</w:t>
      </w:r>
    </w:p>
    <w:p w14:paraId="2A3CC584" w14:textId="77777777" w:rsidR="00A36A8A" w:rsidRDefault="00A36A8A" w:rsidP="00A36A8A">
      <w:pPr>
        <w:rPr>
          <w:i/>
          <w:iCs/>
        </w:rPr>
      </w:pPr>
      <w:r>
        <w:rPr>
          <w:i/>
          <w:iCs/>
        </w:rPr>
        <w:t>Overall trends</w:t>
      </w:r>
    </w:p>
    <w:p w14:paraId="78721711" w14:textId="77777777" w:rsidR="00A36A8A" w:rsidRDefault="00A36A8A" w:rsidP="00A36A8A">
      <w:r>
        <w:t>We fit a separate GLM to data from all sites prior to period 17 (pre-restoration), and the post restoration periods (period 18-24) for restored and un-restored sites.  The beta coefficient for Period for the pre-construction sites (all before period 17) was -0.95 (SE = 0.03) a significant decline in oyster counts over time (p=0.007).  Fitting separate GLM models to the post-construction, unrestored reefs, the beta coefficient for period is -0.05 (SE = 0.04), which is not significant (p = 0.21). Post-construction, for restored reefs, the beta coefficient for period is -0.01 (SE = 0.04), which is also not significant (p = 0.75).  However, the key result is that the restored and unrestored reefs now have overlapping beta coefficients suggesting the live oyster counts per meter of transect are similar.  Critically, both restored and unrestored reefs have negative slopes indicating declines, however the unrestored reefs are declining at a faster rate than the restored reefs, though these declines are not statistically significant.  This is an area for further assessment.</w:t>
      </w:r>
    </w:p>
    <w:p w14:paraId="4BEBD745" w14:textId="77777777" w:rsidR="00A36A8A" w:rsidRDefault="00A36A8A" w:rsidP="00A36A8A"/>
    <w:p w14:paraId="31AE41B7" w14:textId="77777777" w:rsidR="00A36A8A" w:rsidRDefault="00A36A8A" w:rsidP="00A36A8A">
      <w:pPr>
        <w:rPr>
          <w:i/>
          <w:iCs/>
        </w:rPr>
      </w:pPr>
      <w:r>
        <w:rPr>
          <w:noProof/>
        </w:rPr>
        <w:lastRenderedPageBreak/>
        <w:drawing>
          <wp:inline distT="0" distB="0" distL="0" distR="0" wp14:anchorId="2D54AFBC" wp14:editId="24E67D0A">
            <wp:extent cx="5943600" cy="5215890"/>
            <wp:effectExtent l="0" t="0" r="0"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5943600" cy="5215890"/>
                    </a:xfrm>
                    <a:prstGeom prst="rect">
                      <a:avLst/>
                    </a:prstGeom>
                  </pic:spPr>
                </pic:pic>
              </a:graphicData>
            </a:graphic>
          </wp:inline>
        </w:drawing>
      </w:r>
    </w:p>
    <w:p w14:paraId="051BE68C" w14:textId="77777777" w:rsidR="00A36A8A" w:rsidRDefault="00A36A8A" w:rsidP="00A36A8A">
      <w:pPr>
        <w:pStyle w:val="Caption"/>
      </w:pPr>
      <w:r>
        <w:t xml:space="preserve">Figure 6:  Observed (red dot = not restored, blue dot = restored) and predicted (solid black line for years prior to restoration, red or blue line for years after restoration) counts of live oysters per 1 meter of transect (y axis) over period of time (x axis). The blue dots prior to period 17 are the pilot project reefs and are not included in the GLM represented by the black line and grey error bar.  The ribbon is the predicted 95% confidence interval.  </w:t>
      </w:r>
    </w:p>
    <w:p w14:paraId="1A682CE7" w14:textId="77777777" w:rsidR="00A36A8A" w:rsidRDefault="00A36A8A" w:rsidP="00A36A8A"/>
    <w:p w14:paraId="298F5B8F" w14:textId="77777777" w:rsidR="00A36A8A" w:rsidRDefault="00A36A8A" w:rsidP="00A36A8A"/>
    <w:p w14:paraId="7BB834EB" w14:textId="77777777" w:rsidR="00A36A8A" w:rsidRPr="00A9497F" w:rsidRDefault="00A36A8A" w:rsidP="00A36A8A"/>
    <w:p w14:paraId="64D30F82" w14:textId="77777777" w:rsidR="00A36A8A" w:rsidRDefault="00A36A8A" w:rsidP="00A36A8A">
      <w:pPr>
        <w:rPr>
          <w:i/>
          <w:iCs/>
        </w:rPr>
      </w:pPr>
    </w:p>
    <w:p w14:paraId="1006DD0C" w14:textId="77777777" w:rsidR="00A36A8A" w:rsidRDefault="00A36A8A" w:rsidP="00A36A8A">
      <w:pPr>
        <w:rPr>
          <w:i/>
          <w:iCs/>
        </w:rPr>
      </w:pPr>
    </w:p>
    <w:p w14:paraId="725AE1A2" w14:textId="77777777" w:rsidR="00A36A8A" w:rsidRDefault="00A36A8A" w:rsidP="00A36A8A">
      <w:pPr>
        <w:rPr>
          <w:i/>
          <w:iCs/>
        </w:rPr>
      </w:pPr>
    </w:p>
    <w:p w14:paraId="238F009C" w14:textId="77777777" w:rsidR="00A36A8A" w:rsidRPr="003733ED" w:rsidRDefault="00A36A8A" w:rsidP="00A36A8A">
      <w:r>
        <w:t xml:space="preserve"> </w:t>
      </w:r>
    </w:p>
    <w:p w14:paraId="254FF11B" w14:textId="445CCDB6" w:rsidR="008A70A5" w:rsidRPr="008A70A5" w:rsidRDefault="008A70A5" w:rsidP="00982F2D"/>
    <w:sectPr w:rsidR="008A70A5" w:rsidRPr="008A70A5" w:rsidSect="001D0232">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28408" w14:textId="77777777" w:rsidR="00C40935" w:rsidRDefault="00C40935" w:rsidP="00E07291">
      <w:pPr>
        <w:spacing w:after="0" w:line="240" w:lineRule="auto"/>
      </w:pPr>
      <w:r>
        <w:separator/>
      </w:r>
    </w:p>
  </w:endnote>
  <w:endnote w:type="continuationSeparator" w:id="0">
    <w:p w14:paraId="689189E3" w14:textId="77777777" w:rsidR="00C40935" w:rsidRDefault="00C40935" w:rsidP="00E0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649059"/>
      <w:docPartObj>
        <w:docPartGallery w:val="Page Numbers (Bottom of Page)"/>
        <w:docPartUnique/>
      </w:docPartObj>
    </w:sdtPr>
    <w:sdtEndPr>
      <w:rPr>
        <w:noProof/>
      </w:rPr>
    </w:sdtEndPr>
    <w:sdtContent>
      <w:p w14:paraId="30E93000" w14:textId="31F7BBB5" w:rsidR="009E3B19" w:rsidRDefault="009E3B19">
        <w:pPr>
          <w:pStyle w:val="Footer"/>
          <w:jc w:val="center"/>
        </w:pPr>
        <w:r>
          <w:fldChar w:fldCharType="begin"/>
        </w:r>
        <w:r>
          <w:instrText xml:space="preserve"> PAGE   \* MERGEFORMAT </w:instrText>
        </w:r>
        <w:r>
          <w:fldChar w:fldCharType="separate"/>
        </w:r>
        <w:r w:rsidR="00FE6EE0">
          <w:rPr>
            <w:noProof/>
          </w:rPr>
          <w:t>1</w:t>
        </w:r>
        <w:r>
          <w:rPr>
            <w:noProof/>
          </w:rPr>
          <w:fldChar w:fldCharType="end"/>
        </w:r>
      </w:p>
    </w:sdtContent>
  </w:sdt>
  <w:p w14:paraId="4EED435B" w14:textId="77777777" w:rsidR="009E3B19" w:rsidRDefault="009E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8EA8" w14:textId="77777777" w:rsidR="00C40935" w:rsidRDefault="00C40935" w:rsidP="00E07291">
      <w:pPr>
        <w:spacing w:after="0" w:line="240" w:lineRule="auto"/>
      </w:pPr>
      <w:r>
        <w:separator/>
      </w:r>
    </w:p>
  </w:footnote>
  <w:footnote w:type="continuationSeparator" w:id="0">
    <w:p w14:paraId="137F3FD2" w14:textId="77777777" w:rsidR="00C40935" w:rsidRDefault="00C40935" w:rsidP="00E072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TE2MDQ2NzAwNDNU0lEKTi0uzszPAykwqwUAyT89xywAAAA="/>
  </w:docVars>
  <w:rsids>
    <w:rsidRoot w:val="00F34D66"/>
    <w:rsid w:val="00001D37"/>
    <w:rsid w:val="00012EB8"/>
    <w:rsid w:val="00017E8A"/>
    <w:rsid w:val="000204B9"/>
    <w:rsid w:val="00027C9A"/>
    <w:rsid w:val="00046F08"/>
    <w:rsid w:val="0005693C"/>
    <w:rsid w:val="00062AB4"/>
    <w:rsid w:val="000734F3"/>
    <w:rsid w:val="00075175"/>
    <w:rsid w:val="00075F9E"/>
    <w:rsid w:val="000A6674"/>
    <w:rsid w:val="000A78C6"/>
    <w:rsid w:val="000B3365"/>
    <w:rsid w:val="000F674B"/>
    <w:rsid w:val="000F7CDA"/>
    <w:rsid w:val="000F7EBF"/>
    <w:rsid w:val="001233CE"/>
    <w:rsid w:val="00133233"/>
    <w:rsid w:val="0015341A"/>
    <w:rsid w:val="00160D5E"/>
    <w:rsid w:val="00163C9A"/>
    <w:rsid w:val="001844D5"/>
    <w:rsid w:val="00185997"/>
    <w:rsid w:val="00190E06"/>
    <w:rsid w:val="00192760"/>
    <w:rsid w:val="0019454B"/>
    <w:rsid w:val="001A3CB2"/>
    <w:rsid w:val="001A7F6A"/>
    <w:rsid w:val="001C309B"/>
    <w:rsid w:val="001D0232"/>
    <w:rsid w:val="001D5583"/>
    <w:rsid w:val="00212907"/>
    <w:rsid w:val="0022652A"/>
    <w:rsid w:val="00230B69"/>
    <w:rsid w:val="00234FF2"/>
    <w:rsid w:val="00242E80"/>
    <w:rsid w:val="00295980"/>
    <w:rsid w:val="002B13AB"/>
    <w:rsid w:val="002D0F47"/>
    <w:rsid w:val="002D3A47"/>
    <w:rsid w:val="00300ACB"/>
    <w:rsid w:val="00320A7E"/>
    <w:rsid w:val="003349DB"/>
    <w:rsid w:val="00382552"/>
    <w:rsid w:val="00382890"/>
    <w:rsid w:val="00394740"/>
    <w:rsid w:val="003A6EAD"/>
    <w:rsid w:val="003B6517"/>
    <w:rsid w:val="003C22C5"/>
    <w:rsid w:val="003C48D1"/>
    <w:rsid w:val="003D0AE8"/>
    <w:rsid w:val="003D59CA"/>
    <w:rsid w:val="004130A6"/>
    <w:rsid w:val="00415E17"/>
    <w:rsid w:val="004326B6"/>
    <w:rsid w:val="004567D2"/>
    <w:rsid w:val="004A0BCA"/>
    <w:rsid w:val="004B76DA"/>
    <w:rsid w:val="004C25CF"/>
    <w:rsid w:val="004D145B"/>
    <w:rsid w:val="004D3AE6"/>
    <w:rsid w:val="004F0D36"/>
    <w:rsid w:val="004F5D0F"/>
    <w:rsid w:val="004F5D67"/>
    <w:rsid w:val="00500BBB"/>
    <w:rsid w:val="0051138E"/>
    <w:rsid w:val="00515F18"/>
    <w:rsid w:val="005170A1"/>
    <w:rsid w:val="00521447"/>
    <w:rsid w:val="00575390"/>
    <w:rsid w:val="00585281"/>
    <w:rsid w:val="005A6659"/>
    <w:rsid w:val="005B0497"/>
    <w:rsid w:val="005B2ABF"/>
    <w:rsid w:val="005B3C1F"/>
    <w:rsid w:val="005C0D72"/>
    <w:rsid w:val="005D2376"/>
    <w:rsid w:val="005E1A3F"/>
    <w:rsid w:val="005E28B7"/>
    <w:rsid w:val="005F043F"/>
    <w:rsid w:val="005F2C4E"/>
    <w:rsid w:val="005F7E4A"/>
    <w:rsid w:val="00600FAA"/>
    <w:rsid w:val="006251B5"/>
    <w:rsid w:val="0064004C"/>
    <w:rsid w:val="00651C16"/>
    <w:rsid w:val="00672979"/>
    <w:rsid w:val="00690F01"/>
    <w:rsid w:val="006B4E81"/>
    <w:rsid w:val="006C6266"/>
    <w:rsid w:val="006E09FB"/>
    <w:rsid w:val="006E4A89"/>
    <w:rsid w:val="006F4DBF"/>
    <w:rsid w:val="006F65C5"/>
    <w:rsid w:val="0070155B"/>
    <w:rsid w:val="00707716"/>
    <w:rsid w:val="00726C97"/>
    <w:rsid w:val="007277C8"/>
    <w:rsid w:val="0074396B"/>
    <w:rsid w:val="00744EC7"/>
    <w:rsid w:val="00751A4A"/>
    <w:rsid w:val="007757A1"/>
    <w:rsid w:val="0077602B"/>
    <w:rsid w:val="007771A6"/>
    <w:rsid w:val="00790A37"/>
    <w:rsid w:val="00795811"/>
    <w:rsid w:val="007B601C"/>
    <w:rsid w:val="007C38D1"/>
    <w:rsid w:val="007D589D"/>
    <w:rsid w:val="007E18E1"/>
    <w:rsid w:val="007E4561"/>
    <w:rsid w:val="007F4F91"/>
    <w:rsid w:val="007F605A"/>
    <w:rsid w:val="00803BFC"/>
    <w:rsid w:val="008251CB"/>
    <w:rsid w:val="0083164E"/>
    <w:rsid w:val="00841279"/>
    <w:rsid w:val="00842E7D"/>
    <w:rsid w:val="00845CCE"/>
    <w:rsid w:val="008537B5"/>
    <w:rsid w:val="008620F0"/>
    <w:rsid w:val="008638B3"/>
    <w:rsid w:val="00882B31"/>
    <w:rsid w:val="00894976"/>
    <w:rsid w:val="008A2D8F"/>
    <w:rsid w:val="008A690F"/>
    <w:rsid w:val="008A70A5"/>
    <w:rsid w:val="008D1CD6"/>
    <w:rsid w:val="008D4F6D"/>
    <w:rsid w:val="008E4FB1"/>
    <w:rsid w:val="008F5CCE"/>
    <w:rsid w:val="009161F8"/>
    <w:rsid w:val="009175A3"/>
    <w:rsid w:val="00925A7C"/>
    <w:rsid w:val="0092662D"/>
    <w:rsid w:val="009507A9"/>
    <w:rsid w:val="00956A87"/>
    <w:rsid w:val="0096331A"/>
    <w:rsid w:val="00964ABF"/>
    <w:rsid w:val="00982F2D"/>
    <w:rsid w:val="00991412"/>
    <w:rsid w:val="00995D6E"/>
    <w:rsid w:val="00996C36"/>
    <w:rsid w:val="00996C84"/>
    <w:rsid w:val="009C169A"/>
    <w:rsid w:val="009D3FA6"/>
    <w:rsid w:val="009E10DA"/>
    <w:rsid w:val="009E3B19"/>
    <w:rsid w:val="009E7374"/>
    <w:rsid w:val="00A0052E"/>
    <w:rsid w:val="00A025D0"/>
    <w:rsid w:val="00A258C5"/>
    <w:rsid w:val="00A36A8A"/>
    <w:rsid w:val="00A41080"/>
    <w:rsid w:val="00A41B67"/>
    <w:rsid w:val="00A6543C"/>
    <w:rsid w:val="00A81723"/>
    <w:rsid w:val="00A828B3"/>
    <w:rsid w:val="00AB7E41"/>
    <w:rsid w:val="00AC7909"/>
    <w:rsid w:val="00AE5471"/>
    <w:rsid w:val="00AE6672"/>
    <w:rsid w:val="00AE69A6"/>
    <w:rsid w:val="00B019F0"/>
    <w:rsid w:val="00B17A59"/>
    <w:rsid w:val="00B17B28"/>
    <w:rsid w:val="00B304D2"/>
    <w:rsid w:val="00B35390"/>
    <w:rsid w:val="00B4640D"/>
    <w:rsid w:val="00B61169"/>
    <w:rsid w:val="00B64B97"/>
    <w:rsid w:val="00B77020"/>
    <w:rsid w:val="00B8611E"/>
    <w:rsid w:val="00B874F1"/>
    <w:rsid w:val="00B91124"/>
    <w:rsid w:val="00BA11A9"/>
    <w:rsid w:val="00C16ED3"/>
    <w:rsid w:val="00C40935"/>
    <w:rsid w:val="00C41808"/>
    <w:rsid w:val="00C4346E"/>
    <w:rsid w:val="00C831A3"/>
    <w:rsid w:val="00C85F4B"/>
    <w:rsid w:val="00CA37C0"/>
    <w:rsid w:val="00CD1AB5"/>
    <w:rsid w:val="00CE5A93"/>
    <w:rsid w:val="00CE6A12"/>
    <w:rsid w:val="00CE75B7"/>
    <w:rsid w:val="00CF439D"/>
    <w:rsid w:val="00D0408C"/>
    <w:rsid w:val="00D072F6"/>
    <w:rsid w:val="00D22679"/>
    <w:rsid w:val="00D35672"/>
    <w:rsid w:val="00D57AF2"/>
    <w:rsid w:val="00D6097F"/>
    <w:rsid w:val="00D84173"/>
    <w:rsid w:val="00D86E85"/>
    <w:rsid w:val="00DB736A"/>
    <w:rsid w:val="00DC2A71"/>
    <w:rsid w:val="00DC79B9"/>
    <w:rsid w:val="00DE5AB2"/>
    <w:rsid w:val="00E03EE3"/>
    <w:rsid w:val="00E04BE0"/>
    <w:rsid w:val="00E0612F"/>
    <w:rsid w:val="00E07291"/>
    <w:rsid w:val="00E10ECC"/>
    <w:rsid w:val="00E2194C"/>
    <w:rsid w:val="00E31F75"/>
    <w:rsid w:val="00E33CE7"/>
    <w:rsid w:val="00E52735"/>
    <w:rsid w:val="00E570D2"/>
    <w:rsid w:val="00E76737"/>
    <w:rsid w:val="00E93A72"/>
    <w:rsid w:val="00E94065"/>
    <w:rsid w:val="00EB0052"/>
    <w:rsid w:val="00EB626B"/>
    <w:rsid w:val="00EE0716"/>
    <w:rsid w:val="00EF283D"/>
    <w:rsid w:val="00EF2AE7"/>
    <w:rsid w:val="00EF55A3"/>
    <w:rsid w:val="00F02EC9"/>
    <w:rsid w:val="00F05C7F"/>
    <w:rsid w:val="00F06ECD"/>
    <w:rsid w:val="00F14860"/>
    <w:rsid w:val="00F14D66"/>
    <w:rsid w:val="00F270B7"/>
    <w:rsid w:val="00F331A3"/>
    <w:rsid w:val="00F34D66"/>
    <w:rsid w:val="00F439C2"/>
    <w:rsid w:val="00F67813"/>
    <w:rsid w:val="00FA2EEB"/>
    <w:rsid w:val="00FB34AB"/>
    <w:rsid w:val="00FB5DF4"/>
    <w:rsid w:val="00FD10A5"/>
    <w:rsid w:val="00FE6EE0"/>
    <w:rsid w:val="00FF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F8D4"/>
  <w15:chartTrackingRefBased/>
  <w15:docId w15:val="{EFFFC40C-CB71-468A-86D6-B6BF757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A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BCA"/>
    <w:rPr>
      <w:rFonts w:ascii="Courier New" w:eastAsia="Times New Roman" w:hAnsi="Courier New" w:cs="Courier New"/>
      <w:sz w:val="20"/>
      <w:szCs w:val="20"/>
    </w:rPr>
  </w:style>
  <w:style w:type="character" w:customStyle="1" w:styleId="gnkrckgcgsb">
    <w:name w:val="gnkrckgcgsb"/>
    <w:basedOn w:val="DefaultParagraphFont"/>
    <w:rsid w:val="004A0BCA"/>
  </w:style>
  <w:style w:type="paragraph" w:styleId="Header">
    <w:name w:val="header"/>
    <w:basedOn w:val="Normal"/>
    <w:link w:val="HeaderChar"/>
    <w:uiPriority w:val="99"/>
    <w:unhideWhenUsed/>
    <w:rsid w:val="00E07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91"/>
  </w:style>
  <w:style w:type="paragraph" w:styleId="Footer">
    <w:name w:val="footer"/>
    <w:basedOn w:val="Normal"/>
    <w:link w:val="FooterChar"/>
    <w:uiPriority w:val="99"/>
    <w:unhideWhenUsed/>
    <w:rsid w:val="00E07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91"/>
  </w:style>
  <w:style w:type="character" w:styleId="Hyperlink">
    <w:name w:val="Hyperlink"/>
    <w:basedOn w:val="DefaultParagraphFont"/>
    <w:uiPriority w:val="99"/>
    <w:semiHidden/>
    <w:unhideWhenUsed/>
    <w:rsid w:val="00B019F0"/>
    <w:rPr>
      <w:color w:val="0000FF"/>
      <w:u w:val="single"/>
    </w:rPr>
  </w:style>
  <w:style w:type="character" w:styleId="PlaceholderText">
    <w:name w:val="Placeholder Text"/>
    <w:basedOn w:val="DefaultParagraphFont"/>
    <w:uiPriority w:val="99"/>
    <w:semiHidden/>
    <w:rsid w:val="00133233"/>
    <w:rPr>
      <w:color w:val="808080"/>
    </w:rPr>
  </w:style>
  <w:style w:type="paragraph" w:styleId="BalloonText">
    <w:name w:val="Balloon Text"/>
    <w:basedOn w:val="Normal"/>
    <w:link w:val="BalloonTextChar"/>
    <w:uiPriority w:val="99"/>
    <w:semiHidden/>
    <w:unhideWhenUsed/>
    <w:rsid w:val="00E10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ECC"/>
    <w:rPr>
      <w:rFonts w:ascii="Segoe UI" w:hAnsi="Segoe UI" w:cs="Segoe UI"/>
      <w:sz w:val="18"/>
      <w:szCs w:val="18"/>
    </w:rPr>
  </w:style>
  <w:style w:type="character" w:styleId="CommentReference">
    <w:name w:val="annotation reference"/>
    <w:basedOn w:val="DefaultParagraphFont"/>
    <w:uiPriority w:val="99"/>
    <w:semiHidden/>
    <w:unhideWhenUsed/>
    <w:rsid w:val="00FE6EE0"/>
    <w:rPr>
      <w:sz w:val="16"/>
      <w:szCs w:val="16"/>
    </w:rPr>
  </w:style>
  <w:style w:type="paragraph" w:styleId="CommentText">
    <w:name w:val="annotation text"/>
    <w:basedOn w:val="Normal"/>
    <w:link w:val="CommentTextChar"/>
    <w:uiPriority w:val="99"/>
    <w:semiHidden/>
    <w:unhideWhenUsed/>
    <w:rsid w:val="00FE6EE0"/>
    <w:pPr>
      <w:spacing w:line="240" w:lineRule="auto"/>
    </w:pPr>
    <w:rPr>
      <w:sz w:val="20"/>
      <w:szCs w:val="20"/>
    </w:rPr>
  </w:style>
  <w:style w:type="character" w:customStyle="1" w:styleId="CommentTextChar">
    <w:name w:val="Comment Text Char"/>
    <w:basedOn w:val="DefaultParagraphFont"/>
    <w:link w:val="CommentText"/>
    <w:uiPriority w:val="99"/>
    <w:semiHidden/>
    <w:rsid w:val="00FE6EE0"/>
    <w:rPr>
      <w:sz w:val="20"/>
      <w:szCs w:val="20"/>
    </w:rPr>
  </w:style>
  <w:style w:type="paragraph" w:styleId="CommentSubject">
    <w:name w:val="annotation subject"/>
    <w:basedOn w:val="CommentText"/>
    <w:next w:val="CommentText"/>
    <w:link w:val="CommentSubjectChar"/>
    <w:uiPriority w:val="99"/>
    <w:semiHidden/>
    <w:unhideWhenUsed/>
    <w:rsid w:val="00FE6EE0"/>
    <w:rPr>
      <w:b/>
      <w:bCs/>
    </w:rPr>
  </w:style>
  <w:style w:type="character" w:customStyle="1" w:styleId="CommentSubjectChar">
    <w:name w:val="Comment Subject Char"/>
    <w:basedOn w:val="CommentTextChar"/>
    <w:link w:val="CommentSubject"/>
    <w:uiPriority w:val="99"/>
    <w:semiHidden/>
    <w:rsid w:val="00FE6EE0"/>
    <w:rPr>
      <w:b/>
      <w:bCs/>
      <w:sz w:val="20"/>
      <w:szCs w:val="20"/>
    </w:rPr>
  </w:style>
  <w:style w:type="paragraph" w:styleId="Caption">
    <w:name w:val="caption"/>
    <w:basedOn w:val="Normal"/>
    <w:next w:val="Normal"/>
    <w:uiPriority w:val="35"/>
    <w:unhideWhenUsed/>
    <w:qFormat/>
    <w:rsid w:val="008A690F"/>
    <w:pPr>
      <w:spacing w:after="200" w:line="240" w:lineRule="auto"/>
    </w:pPr>
    <w:rPr>
      <w:i/>
      <w:iCs/>
      <w:color w:val="44546A" w:themeColor="text2"/>
      <w:sz w:val="18"/>
      <w:szCs w:val="18"/>
    </w:rPr>
  </w:style>
  <w:style w:type="paragraph" w:styleId="Revision">
    <w:name w:val="Revision"/>
    <w:hidden/>
    <w:uiPriority w:val="99"/>
    <w:semiHidden/>
    <w:rsid w:val="00300A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585">
      <w:bodyDiv w:val="1"/>
      <w:marLeft w:val="0"/>
      <w:marRight w:val="0"/>
      <w:marTop w:val="0"/>
      <w:marBottom w:val="0"/>
      <w:divBdr>
        <w:top w:val="none" w:sz="0" w:space="0" w:color="auto"/>
        <w:left w:val="none" w:sz="0" w:space="0" w:color="auto"/>
        <w:bottom w:val="none" w:sz="0" w:space="0" w:color="auto"/>
        <w:right w:val="none" w:sz="0" w:space="0" w:color="auto"/>
      </w:divBdr>
    </w:div>
    <w:div w:id="185294571">
      <w:bodyDiv w:val="1"/>
      <w:marLeft w:val="0"/>
      <w:marRight w:val="0"/>
      <w:marTop w:val="0"/>
      <w:marBottom w:val="0"/>
      <w:divBdr>
        <w:top w:val="none" w:sz="0" w:space="0" w:color="auto"/>
        <w:left w:val="none" w:sz="0" w:space="0" w:color="auto"/>
        <w:bottom w:val="none" w:sz="0" w:space="0" w:color="auto"/>
        <w:right w:val="none" w:sz="0" w:space="0" w:color="auto"/>
      </w:divBdr>
    </w:div>
    <w:div w:id="372000913">
      <w:bodyDiv w:val="1"/>
      <w:marLeft w:val="0"/>
      <w:marRight w:val="0"/>
      <w:marTop w:val="0"/>
      <w:marBottom w:val="0"/>
      <w:divBdr>
        <w:top w:val="none" w:sz="0" w:space="0" w:color="auto"/>
        <w:left w:val="none" w:sz="0" w:space="0" w:color="auto"/>
        <w:bottom w:val="none" w:sz="0" w:space="0" w:color="auto"/>
        <w:right w:val="none" w:sz="0" w:space="0" w:color="auto"/>
      </w:divBdr>
    </w:div>
    <w:div w:id="567498150">
      <w:bodyDiv w:val="1"/>
      <w:marLeft w:val="0"/>
      <w:marRight w:val="0"/>
      <w:marTop w:val="0"/>
      <w:marBottom w:val="0"/>
      <w:divBdr>
        <w:top w:val="none" w:sz="0" w:space="0" w:color="auto"/>
        <w:left w:val="none" w:sz="0" w:space="0" w:color="auto"/>
        <w:bottom w:val="none" w:sz="0" w:space="0" w:color="auto"/>
        <w:right w:val="none" w:sz="0" w:space="0" w:color="auto"/>
      </w:divBdr>
    </w:div>
    <w:div w:id="664165231">
      <w:bodyDiv w:val="1"/>
      <w:marLeft w:val="0"/>
      <w:marRight w:val="0"/>
      <w:marTop w:val="0"/>
      <w:marBottom w:val="0"/>
      <w:divBdr>
        <w:top w:val="none" w:sz="0" w:space="0" w:color="auto"/>
        <w:left w:val="none" w:sz="0" w:space="0" w:color="auto"/>
        <w:bottom w:val="none" w:sz="0" w:space="0" w:color="auto"/>
        <w:right w:val="none" w:sz="0" w:space="0" w:color="auto"/>
      </w:divBdr>
    </w:div>
    <w:div w:id="725448471">
      <w:bodyDiv w:val="1"/>
      <w:marLeft w:val="0"/>
      <w:marRight w:val="0"/>
      <w:marTop w:val="0"/>
      <w:marBottom w:val="0"/>
      <w:divBdr>
        <w:top w:val="none" w:sz="0" w:space="0" w:color="auto"/>
        <w:left w:val="none" w:sz="0" w:space="0" w:color="auto"/>
        <w:bottom w:val="none" w:sz="0" w:space="0" w:color="auto"/>
        <w:right w:val="none" w:sz="0" w:space="0" w:color="auto"/>
      </w:divBdr>
    </w:div>
    <w:div w:id="1400058320">
      <w:bodyDiv w:val="1"/>
      <w:marLeft w:val="0"/>
      <w:marRight w:val="0"/>
      <w:marTop w:val="0"/>
      <w:marBottom w:val="0"/>
      <w:divBdr>
        <w:top w:val="none" w:sz="0" w:space="0" w:color="auto"/>
        <w:left w:val="none" w:sz="0" w:space="0" w:color="auto"/>
        <w:bottom w:val="none" w:sz="0" w:space="0" w:color="auto"/>
        <w:right w:val="none" w:sz="0" w:space="0" w:color="auto"/>
      </w:divBdr>
    </w:div>
    <w:div w:id="1645937198">
      <w:bodyDiv w:val="1"/>
      <w:marLeft w:val="0"/>
      <w:marRight w:val="0"/>
      <w:marTop w:val="0"/>
      <w:marBottom w:val="0"/>
      <w:divBdr>
        <w:top w:val="none" w:sz="0" w:space="0" w:color="auto"/>
        <w:left w:val="none" w:sz="0" w:space="0" w:color="auto"/>
        <w:bottom w:val="none" w:sz="0" w:space="0" w:color="auto"/>
        <w:right w:val="none" w:sz="0" w:space="0" w:color="auto"/>
      </w:divBdr>
    </w:div>
    <w:div w:id="1978995128">
      <w:bodyDiv w:val="1"/>
      <w:marLeft w:val="0"/>
      <w:marRight w:val="0"/>
      <w:marTop w:val="0"/>
      <w:marBottom w:val="0"/>
      <w:divBdr>
        <w:top w:val="none" w:sz="0" w:space="0" w:color="auto"/>
        <w:left w:val="none" w:sz="0" w:space="0" w:color="auto"/>
        <w:bottom w:val="none" w:sz="0" w:space="0" w:color="auto"/>
        <w:right w:val="none" w:sz="0" w:space="0" w:color="auto"/>
      </w:divBdr>
    </w:div>
    <w:div w:id="21197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9703-5BD0-4499-A783-EC849A8F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4</cp:revision>
  <cp:lastPrinted>2022-04-12T15:54:00Z</cp:lastPrinted>
  <dcterms:created xsi:type="dcterms:W3CDTF">2022-04-12T15:53:00Z</dcterms:created>
  <dcterms:modified xsi:type="dcterms:W3CDTF">2022-04-12T15:54:00Z</dcterms:modified>
</cp:coreProperties>
</file>