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RAG Format Fidelity Observatory Manual</w:t>
      </w:r>
    </w:p>
    <w:p>
      <w:r>
        <w:t xml:space="preserve">Fixture format: DOCX. This label is not part of the answer key.</w:t>
      </w:r>
    </w:p>
    <w:p>
      <w:pPr>
        <w:pStyle w:val="Heading2"/>
      </w:pPr>
      <w:r>
        <w:t xml:space="preserve">Identity and access</w:t>
      </w:r>
    </w:p>
    <w:p>
      <w:r>
        <w:t xml:space="preserve">The facility is named Aurora Finch Observatory. Its active access phrase is VIOLET-7291.</w:t>
      </w:r>
    </w:p>
    <w:p>
      <w:r>
        <w:t xml:space="preserve">The phrase CRIMSON-4180 is retired and must not be used. It is included only to test whether retrieval preserves negation and status.</w:t>
      </w:r>
    </w:p>
    <w:p>
      <w:pPr>
        <w:pStyle w:val="Heading2"/>
      </w:pPr>
      <w:r>
        <w:t xml:space="preserve">Sensor limits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336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Emergency threshold</w:t>
            </w:r>
          </w:p>
        </w:tc>
        <w:tc>
          <w:tcPr>
            <w:tcW w:type="dxa" w:w="336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Calibration interval</w:t>
            </w:r>
          </w:p>
        </w:tc>
      </w:tr>
      <w:tr>
        <w:tc>
          <w:tcPr>
            <w:tcW w:type="dxa" w:w="336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North-17</w:t>
            </w:r>
          </w:p>
        </w:tc>
        <w:tc>
          <w:tcPr>
            <w:tcW w:type="dxa" w:w="336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37.4 degrees Celsius</w:t>
            </w:r>
          </w:p>
        </w:tc>
        <w:tc>
          <w:tcPr>
            <w:tcW w:type="dxa" w:w="336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43 days</w:t>
            </w:r>
          </w:p>
        </w:tc>
      </w:tr>
      <w:tr>
        <w:tc>
          <w:tcPr>
            <w:tcW w:type="dxa" w:w="336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South-08</w:t>
            </w:r>
          </w:p>
        </w:tc>
        <w:tc>
          <w:tcPr>
            <w:tcW w:type="dxa" w:w="336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41.2 degrees Celsius</w:t>
            </w:r>
          </w:p>
        </w:tc>
        <w:tc>
          <w:tcPr>
            <w:tcW w:type="dxa" w:w="336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 days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Emergency procedure</w:t>
      </w:r>
    </w:p>
    <w:p>
      <w:r>
        <w:t xml:space="preserve">When North-17 exceeds 37.4 degrees Celsius, Mira Solano authorizes the emergency shutdown. The shutdown decision must be recorded within 11 minutes of the alarm.</w:t>
      </w:r>
    </w:p>
    <w:p>
      <w:r>
        <w:t xml:space="preserve">The table values and this procedure are authoritative. A nearby training note that mentions a 15-minute drill does not replace the 11-minute production deadline.</w:t>
      </w:r>
    </w:p>
    <w:p>
      <w:pPr>
        <w:pStyle w:val="Heading2"/>
      </w:pPr>
      <w:r>
        <w:t xml:space="preserve">Cross-page continuity</w:t>
      </w:r>
    </w:p>
    <w:p>
      <w:r>
        <w:t xml:space="preserve">The backup calibration capsule is stored in locker</w:t>
      </w:r>
    </w:p>
    <w:p>
      <w:r>
        <w:br w:type="page"/>
      </w:r>
    </w:p>
    <w:p>
      <w:r>
        <w:t xml:space="preserve">K-204. The locker identifier must remain attached to the phrase "backup calibration capsule" even when a page boundary separates nearby paragraphs.</w:t>
      </w:r>
    </w:p>
    <w:p>
      <w:pPr>
        <w:pStyle w:val="Heading2"/>
      </w:pPr>
      <w:r>
        <w:t xml:space="preserve">Deliberate omissions</w:t>
      </w:r>
    </w:p>
    <w:p>
      <w:r>
        <w:t xml:space="preserve">This manual does not state a launch mass, launch date, orbital altitude, or fuel capacity. A system using this document must not invent those values.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RAG format fixture |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65F9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Format Fidelity Observatory Manual</dc:title>
  <dc:creator>AI Agent Scaffold RAG Evaluation</dc:creator>
  <dc:description>Deterministic DOCX fixture for RAG parser and retrieval evaluation</dc:description>
  <cp:lastModifiedBy>Un-named</cp:lastModifiedBy>
  <cp:revision>1</cp:revision>
  <dcterms:created xsi:type="dcterms:W3CDTF">2026-07-19T21:31:37.119Z</dcterms:created>
  <dcterms:modified xsi:type="dcterms:W3CDTF">2026-07-19T21:31:37.120Z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