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PTEN Regulates PI(3,4)P2 Signaling Downstream of Class I PI3K</w:t>
      </w:r>
    </w:p>
    <w:p>
      <w:r>
        <w:rPr>
          <w:rFonts w:ascii="Courier New" w:hAnsi="Courier New" w:cs="Courier New" w:eastAsia="Courier New"/>
          <w:sz w:val="18"/>
        </w:rPr>
        <w:t>SCIFACT-EVIDENCE-24294572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The PI3K signaling pathway regulates cell growth and movement and is heavily mutated in cancer.</w:t>
      </w:r>
    </w:p>
    <w:p>
      <w:r>
        <w:rPr>
          <w:rFonts w:ascii="Arial" w:hAnsi="Arial" w:cs="Arial" w:eastAsia="Arial"/>
          <w:sz w:val="22"/>
        </w:rPr>
        <w:t>Class I PI3Ks synthesize the lipid messenger PI(3,4,5)P3.</w:t>
      </w:r>
    </w:p>
    <w:p>
      <w:r>
        <w:rPr>
          <w:rFonts w:ascii="Arial" w:hAnsi="Arial" w:cs="Arial" w:eastAsia="Arial"/>
          <w:sz w:val="22"/>
        </w:rPr>
        <w:t>PI(3,4,5)P3 can be dephosphorylated by 3- or 5-phosphatases, the latter producing PI(3,4)P2.</w:t>
      </w:r>
    </w:p>
    <w:p>
      <w:r>
        <w:rPr>
          <w:rFonts w:ascii="Arial" w:hAnsi="Arial" w:cs="Arial" w:eastAsia="Arial"/>
          <w:sz w:val="22"/>
        </w:rPr>
        <w:t>The PTEN tumor suppressor is thought to function primarily as a PI(3,4,5)P3 3-phosphatase, limiting activation of this pathway.</w:t>
      </w:r>
    </w:p>
    <w:p>
      <w:r>
        <w:rPr>
          <w:rFonts w:ascii="Arial" w:hAnsi="Arial" w:cs="Arial" w:eastAsia="Arial"/>
          <w:sz w:val="22"/>
        </w:rPr>
        <w:t>Here we show that PTEN also functions as a PI(3,4)P2 3-phosphatase, both in vitro and in vivo.</w:t>
      </w:r>
    </w:p>
    <w:p>
      <w:r>
        <w:rPr>
          <w:rFonts w:ascii="Arial" w:hAnsi="Arial" w:cs="Arial" w:eastAsia="Arial"/>
          <w:sz w:val="22"/>
        </w:rPr>
        <w:t>PTEN is a major PI(3,4)P2 phosphatase in Mcf10a cytosol, and loss of PTEN and INPP4B, a known PI(3,4)P2 4-phosphatase, leads to synergistic accumulation of PI(3,4)P2, which correlated with increased invadopodia in epidermal growth factor (EGF)-stimulated cells.</w:t>
      </w:r>
    </w:p>
    <w:p>
      <w:r>
        <w:rPr>
          <w:rFonts w:ascii="Arial" w:hAnsi="Arial" w:cs="Arial" w:eastAsia="Arial"/>
          <w:sz w:val="22"/>
        </w:rPr>
        <w:t>PTEN deletion increased PI(3,4)P2 levels in a mouse model of prostate cancer, and it inversely correlated with PI(3,4)P2 levels across several EGF-stimulated prostate and breast cancer lines.</w:t>
      </w:r>
    </w:p>
    <w:p>
      <w:r>
        <w:rPr>
          <w:rFonts w:ascii="Arial" w:hAnsi="Arial" w:cs="Arial" w:eastAsia="Arial"/>
          <w:sz w:val="22"/>
        </w:rPr>
        <w:t>These results point to a role for PI(3,4)P2 in the phenotype caused by loss-of-function mutations or deletions in PTEN.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24294572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24294572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PTEN Regulates PI(3,4)P2 Signaling Downstream of Class I PI3K</dc:title>
</cp:coreProperties>
</file>