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Senescent Cells, Tumor Suppression, and Organismal Aging: Good Citizens, Bad Neighbors</w:t>
      </w:r>
    </w:p>
    <w:p>
      <w:r>
        <w:rPr>
          <w:rFonts w:ascii="Courier New" w:hAnsi="Courier New" w:cs="Courier New" w:eastAsia="Courier New"/>
          <w:sz w:val="18"/>
        </w:rPr>
        <w:t>SCIFACT-EVIDENCE-9559146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Cells from organisms with renewable tissues can permanently withdraw from the cell cycle in response to diverse stress, including dysfunctional telomeres, DNA damage, strong mitogenic signals, and disrupted chromatin.</w:t>
      </w:r>
    </w:p>
    <w:p>
      <w:r>
        <w:rPr>
          <w:rFonts w:ascii="Arial" w:hAnsi="Arial" w:cs="Arial" w:eastAsia="Arial"/>
          <w:sz w:val="22"/>
        </w:rPr>
        <w:t>This response, termed cellular senescence, is controlled by the p53 and RB tumor suppressor proteins and constitutes a potent anticancer mechanism.</w:t>
      </w:r>
    </w:p>
    <w:p>
      <w:r>
        <w:rPr>
          <w:rFonts w:ascii="Arial" w:hAnsi="Arial" w:cs="Arial" w:eastAsia="Arial"/>
          <w:sz w:val="22"/>
        </w:rPr>
        <w:t>Nonetheless, senescent cells acquire phenotypic changes that may contribute to aging and certain age-related diseases, including late-life cancer.</w:t>
      </w:r>
    </w:p>
    <w:p>
      <w:r>
        <w:rPr>
          <w:rFonts w:ascii="Arial" w:hAnsi="Arial" w:cs="Arial" w:eastAsia="Arial"/>
          <w:sz w:val="22"/>
        </w:rPr>
        <w:t>Thus, the senescence response may be antagonistically pleiotropic, promoting early-life survival by curtailing the development of cancer but eventually limiting longevity as dysfunctional senescent cells accumulate.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9559146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9559146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Senescent Cells, Tumor Suppression, and Organismal Aging: Good Citizens, Bad Neighbors</dc:title>
</cp:coreProperties>
</file>