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A Century of Cholesterol and Coronaries: From Plaques to Genes to Statins</w:t>
      </w:r>
    </w:p>
    <w:p>
      <w:r>
        <w:rPr>
          <w:rFonts w:ascii="Courier New" w:hAnsi="Courier New" w:cs="Courier New" w:eastAsia="Courier New"/>
          <w:sz w:val="18"/>
        </w:rPr>
        <w:t>SCIFACT-EVIDENCE-7662206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One-fourth of all deaths in industrialized countries result from coronary heart disease.</w:t>
      </w:r>
    </w:p>
    <w:p>
      <w:r>
        <w:rPr>
          <w:rFonts w:ascii="Arial" w:hAnsi="Arial" w:cs="Arial" w:eastAsia="Arial"/>
          <w:sz w:val="22"/>
        </w:rPr>
        <w:t>A century of research has revealed the essential causative agent: cholesterol-carrying low-density lipoprotein (LDL).</w:t>
      </w:r>
    </w:p>
    <w:p>
      <w:r>
        <w:rPr>
          <w:rFonts w:ascii="Arial" w:hAnsi="Arial" w:cs="Arial" w:eastAsia="Arial"/>
          <w:sz w:val="22"/>
        </w:rPr>
        <w:t>LDL is controlled by specific receptors (LDLRs) in liver that remove it from blood.</w:t>
      </w:r>
    </w:p>
    <w:p>
      <w:r>
        <w:rPr>
          <w:rFonts w:ascii="Arial" w:hAnsi="Arial" w:cs="Arial" w:eastAsia="Arial"/>
          <w:sz w:val="22"/>
        </w:rPr>
        <w:t>Mutations that eliminate LDLRs raise LDL and cause heart attacks in childhood, whereas mutations that raise LDLRs reduce LDL and diminish heart attacks.</w:t>
      </w:r>
    </w:p>
    <w:p>
      <w:r>
        <w:rPr>
          <w:rFonts w:ascii="Arial" w:hAnsi="Arial" w:cs="Arial" w:eastAsia="Arial"/>
          <w:sz w:val="22"/>
        </w:rPr>
        <w:t>If we are to eliminate coronary disease, lowering LDL should be the primary goal.</w:t>
      </w:r>
    </w:p>
    <w:p>
      <w:r>
        <w:rPr>
          <w:rFonts w:ascii="Arial" w:hAnsi="Arial" w:cs="Arial" w:eastAsia="Arial"/>
          <w:sz w:val="22"/>
        </w:rPr>
        <w:t>Effective means to achieve this goal are currently available.</w:t>
      </w:r>
    </w:p>
    <w:p>
      <w:r>
        <w:rPr>
          <w:rFonts w:ascii="Arial" w:hAnsi="Arial" w:cs="Arial" w:eastAsia="Arial"/>
          <w:sz w:val="22"/>
        </w:rPr>
        <w:t>The key questions are: who to treat, when to treat, and how long to treat.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7662206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7662206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A Century of Cholesterol and Coronaries: From Plaques to Genes to Statins</dc:title>
</cp:coreProperties>
</file>