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Immobilized chemokine fields and soluble chemokine gradients cooperatively shape migration patterns of dendritic cells.</w:t>
      </w:r>
    </w:p>
    <w:p>
      <w:r>
        <w:rPr>
          <w:rFonts w:ascii="Courier New" w:hAnsi="Courier New" w:cs="Courier New" w:eastAsia="Courier New"/>
          <w:sz w:val="18"/>
        </w:rPr>
        <w:t>SCIFACT-EVIDENCE-2177022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Chemokines orchestrate immune cell trafficking by eliciting either directed or random migration and by activating integrins in order to induce cell adhesion.</w:t>
      </w:r>
    </w:p>
    <w:p>
      <w:r>
        <w:rPr>
          <w:rFonts w:ascii="Arial" w:hAnsi="Arial" w:cs="Arial" w:eastAsia="Arial"/>
          <w:sz w:val="22"/>
        </w:rPr>
        <w:t>Analyzing dendritic cell (DC) migration, we showed that these distinct cellular responses depended on the mode of chemokine presentation within tissues.</w:t>
      </w:r>
    </w:p>
    <w:p>
      <w:r>
        <w:rPr>
          <w:rFonts w:ascii="Arial" w:hAnsi="Arial" w:cs="Arial" w:eastAsia="Arial"/>
          <w:sz w:val="22"/>
        </w:rPr>
        <w:t>The surface-immobilized form of the chemokine CCL21, the heparan sulfate-anchoring ligand of the CC-chemokine receptor 7 (CCR7), caused random movement of DCs that was confined to the chemokine-presenting surface because it triggered integrin-mediated adhesion.</w:t>
      </w:r>
    </w:p>
    <w:p>
      <w:r>
        <w:rPr>
          <w:rFonts w:ascii="Arial" w:hAnsi="Arial" w:cs="Arial" w:eastAsia="Arial"/>
          <w:sz w:val="22"/>
        </w:rPr>
        <w:t>Upon direct contact with CCL21, DCs truncated the anchoring residues of CCL21, thereby releasing it from the solid phase.</w:t>
      </w:r>
    </w:p>
    <w:p>
      <w:r>
        <w:rPr>
          <w:rFonts w:ascii="Arial" w:hAnsi="Arial" w:cs="Arial" w:eastAsia="Arial"/>
          <w:sz w:val="22"/>
        </w:rPr>
        <w:t>Soluble CCL21 functionally resembles the second CCR7 ligand, CCL19, which lacks anchoring residues and forms soluble gradients.</w:t>
      </w:r>
    </w:p>
    <w:p>
      <w:r>
        <w:rPr>
          <w:rFonts w:ascii="Arial" w:hAnsi="Arial" w:cs="Arial" w:eastAsia="Arial"/>
          <w:sz w:val="22"/>
        </w:rPr>
        <w:t>Both soluble CCR7 ligands triggered chemotactic movement, but not surface adhesion.</w:t>
      </w:r>
    </w:p>
    <w:p>
      <w:r>
        <w:rPr>
          <w:rFonts w:ascii="Arial" w:hAnsi="Arial" w:cs="Arial" w:eastAsia="Arial"/>
          <w:sz w:val="22"/>
        </w:rPr>
        <w:t>Adhesive random migration and directional steering cooperate to produce dynamic but spatially restricted locomotion patterns closely resembling the cellular dynamics observed in secondary lymphoid organs.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2177022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2177022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Immobilized chemokine fields and soluble chemokine gradients cooperatively shape migration patterns of dendritic cells.</dc:title>
</cp:coreProperties>
</file>